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472E" w14:textId="3B569876" w:rsidR="002867B9" w:rsidRDefault="0065652E" w:rsidP="00F30221">
      <w:pPr>
        <w:ind w:left="90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From: Matt Wilson</w:t>
      </w:r>
    </w:p>
    <w:p w14:paraId="0423AB6E" w14:textId="533F39B6" w:rsidR="0065652E" w:rsidRDefault="0065652E" w:rsidP="00F30221">
      <w:pPr>
        <w:ind w:left="90" w:firstLine="180"/>
        <w:rPr>
          <w:rFonts w:ascii="Arial" w:hAnsi="Arial" w:cs="Arial"/>
          <w:sz w:val="22"/>
          <w:szCs w:val="22"/>
        </w:rPr>
      </w:pPr>
    </w:p>
    <w:p w14:paraId="3B95F015" w14:textId="56B55CFC" w:rsidR="0065652E" w:rsidRDefault="0065652E" w:rsidP="00F30221">
      <w:pPr>
        <w:ind w:left="90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Supplier Portal Administrator</w:t>
      </w:r>
    </w:p>
    <w:p w14:paraId="06BD0113" w14:textId="1BDEDAFF" w:rsidR="0065652E" w:rsidRDefault="0065652E" w:rsidP="00F30221">
      <w:pPr>
        <w:ind w:left="90" w:firstLine="180"/>
        <w:rPr>
          <w:rFonts w:ascii="Arial" w:hAnsi="Arial" w:cs="Arial"/>
          <w:sz w:val="22"/>
          <w:szCs w:val="22"/>
        </w:rPr>
      </w:pPr>
    </w:p>
    <w:p w14:paraId="4F8418BD" w14:textId="6EDA2C02" w:rsidR="0065652E" w:rsidRDefault="0065652E" w:rsidP="00F30221">
      <w:pPr>
        <w:ind w:left="90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Triumph Corporate – Berwyn</w:t>
      </w:r>
    </w:p>
    <w:p w14:paraId="42D72B55" w14:textId="53A63737" w:rsidR="0065652E" w:rsidRDefault="0065652E" w:rsidP="00F30221">
      <w:pPr>
        <w:ind w:left="90" w:firstLine="180"/>
        <w:rPr>
          <w:rFonts w:ascii="Arial" w:hAnsi="Arial" w:cs="Arial"/>
          <w:sz w:val="22"/>
          <w:szCs w:val="22"/>
        </w:rPr>
      </w:pPr>
    </w:p>
    <w:p w14:paraId="2AA122EE" w14:textId="77777777" w:rsidR="0065652E" w:rsidRDefault="0065652E" w:rsidP="00F30221">
      <w:pPr>
        <w:ind w:left="90" w:firstLine="180"/>
        <w:rPr>
          <w:rFonts w:ascii="Arial" w:hAnsi="Arial" w:cs="Arial"/>
          <w:sz w:val="22"/>
          <w:szCs w:val="22"/>
        </w:rPr>
      </w:pPr>
    </w:p>
    <w:p w14:paraId="69E0E702" w14:textId="199948D4" w:rsidR="0065652E" w:rsidRDefault="0065652E" w:rsidP="00F30221">
      <w:pPr>
        <w:ind w:left="90" w:firstLine="180"/>
        <w:rPr>
          <w:rFonts w:ascii="Arial" w:hAnsi="Arial" w:cs="Arial"/>
          <w:sz w:val="22"/>
          <w:szCs w:val="22"/>
        </w:rPr>
      </w:pPr>
    </w:p>
    <w:p w14:paraId="288BBBC4" w14:textId="02C5D829" w:rsidR="0065652E" w:rsidRDefault="0065652E" w:rsidP="00F30221">
      <w:pPr>
        <w:ind w:left="90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1, 2022</w:t>
      </w:r>
    </w:p>
    <w:p w14:paraId="7B024C3F" w14:textId="17A3EF5A" w:rsidR="0065652E" w:rsidRDefault="0065652E" w:rsidP="00F30221">
      <w:pPr>
        <w:ind w:left="90" w:firstLine="180"/>
        <w:rPr>
          <w:rFonts w:ascii="Arial" w:hAnsi="Arial" w:cs="Arial"/>
          <w:sz w:val="22"/>
          <w:szCs w:val="22"/>
        </w:rPr>
      </w:pPr>
    </w:p>
    <w:p w14:paraId="07220F77" w14:textId="0A2C8F11" w:rsidR="0065652E" w:rsidRDefault="0065652E" w:rsidP="00F30221">
      <w:pPr>
        <w:ind w:left="90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Re: Portal Enhancements – Risk Score</w:t>
      </w:r>
    </w:p>
    <w:p w14:paraId="6A793113" w14:textId="465CA50E" w:rsidR="0065652E" w:rsidRDefault="0065652E" w:rsidP="00F30221">
      <w:pPr>
        <w:ind w:left="90" w:firstLine="180"/>
        <w:rPr>
          <w:rFonts w:ascii="Arial" w:hAnsi="Arial" w:cs="Arial"/>
          <w:sz w:val="22"/>
          <w:szCs w:val="22"/>
        </w:rPr>
      </w:pPr>
    </w:p>
    <w:p w14:paraId="6B34ED4A" w14:textId="57DD891D" w:rsidR="0065652E" w:rsidRDefault="0065652E" w:rsidP="00F30221">
      <w:pPr>
        <w:ind w:left="90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To: Triumph Users of Supplier Portal</w:t>
      </w:r>
    </w:p>
    <w:p w14:paraId="68E1FBDE" w14:textId="408867CA" w:rsidR="0065652E" w:rsidRDefault="0065652E" w:rsidP="00F30221">
      <w:pPr>
        <w:ind w:left="90" w:firstLine="180"/>
        <w:rPr>
          <w:rFonts w:ascii="Arial" w:hAnsi="Arial" w:cs="Arial"/>
          <w:sz w:val="22"/>
          <w:szCs w:val="22"/>
        </w:rPr>
      </w:pPr>
    </w:p>
    <w:p w14:paraId="4C0278B0" w14:textId="15DCDCA5" w:rsidR="0065652E" w:rsidRDefault="0065652E" w:rsidP="00F30221">
      <w:pPr>
        <w:ind w:left="90" w:firstLine="180"/>
        <w:rPr>
          <w:rFonts w:ascii="Arial" w:hAnsi="Arial" w:cs="Arial"/>
          <w:sz w:val="22"/>
          <w:szCs w:val="22"/>
        </w:rPr>
      </w:pPr>
    </w:p>
    <w:p w14:paraId="55095E36" w14:textId="0CC80E2C" w:rsidR="0065652E" w:rsidRDefault="0065652E" w:rsidP="00941B01">
      <w:pPr>
        <w:ind w:left="90" w:firstLine="1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accomplished the goal of updating the Supplier Risk score as communicated in the last supplier conference. The updated supplier risk score contains </w:t>
      </w:r>
      <w:proofErr w:type="gramStart"/>
      <w:r>
        <w:rPr>
          <w:rFonts w:ascii="Arial" w:hAnsi="Arial" w:cs="Arial"/>
          <w:sz w:val="22"/>
          <w:szCs w:val="22"/>
        </w:rPr>
        <w:t>five(</w:t>
      </w:r>
      <w:proofErr w:type="gramEnd"/>
      <w:r>
        <w:rPr>
          <w:rFonts w:ascii="Arial" w:hAnsi="Arial" w:cs="Arial"/>
          <w:sz w:val="22"/>
          <w:szCs w:val="22"/>
        </w:rPr>
        <w:t>5) metrics that give an accurate impression of a supplier’s impact across different functional areas such as revenue impact, quality and delivery</w:t>
      </w:r>
      <w:r w:rsidR="00941B01">
        <w:rPr>
          <w:rFonts w:ascii="Arial" w:hAnsi="Arial" w:cs="Arial"/>
          <w:sz w:val="22"/>
          <w:szCs w:val="22"/>
        </w:rPr>
        <w:t>(See Figure 1)</w:t>
      </w:r>
    </w:p>
    <w:p w14:paraId="61AFC5B6" w14:textId="2F40C03E" w:rsidR="00D9065A" w:rsidRDefault="00D9065A" w:rsidP="00F30221">
      <w:pPr>
        <w:ind w:left="90" w:firstLine="180"/>
        <w:rPr>
          <w:rFonts w:ascii="Arial" w:hAnsi="Arial" w:cs="Arial"/>
          <w:sz w:val="22"/>
          <w:szCs w:val="22"/>
        </w:rPr>
      </w:pPr>
    </w:p>
    <w:p w14:paraId="621BDE4B" w14:textId="1B3B4AF0" w:rsidR="00D9065A" w:rsidRDefault="00D9065A" w:rsidP="00F30221">
      <w:pPr>
        <w:ind w:left="90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supplier risk score page can be found from the Performance top menu by selecting Risk Scorecard, </w:t>
      </w:r>
      <w:proofErr w:type="gramStart"/>
      <w:r>
        <w:rPr>
          <w:rFonts w:ascii="Arial" w:hAnsi="Arial" w:cs="Arial"/>
          <w:sz w:val="22"/>
          <w:szCs w:val="22"/>
        </w:rPr>
        <w:t>and also</w:t>
      </w:r>
      <w:proofErr w:type="gramEnd"/>
      <w:r>
        <w:rPr>
          <w:rFonts w:ascii="Arial" w:hAnsi="Arial" w:cs="Arial"/>
          <w:sz w:val="22"/>
          <w:szCs w:val="22"/>
        </w:rPr>
        <w:t xml:space="preserve"> from a group supplier profile by selecting the Risk Scorecard link in the Additional Supplier Info section.</w:t>
      </w:r>
    </w:p>
    <w:p w14:paraId="4CB69880" w14:textId="14055300" w:rsidR="00D9065A" w:rsidRDefault="00D9065A" w:rsidP="00F30221">
      <w:pPr>
        <w:ind w:left="90" w:firstLine="180"/>
        <w:rPr>
          <w:rFonts w:ascii="Arial" w:hAnsi="Arial" w:cs="Arial"/>
          <w:sz w:val="22"/>
          <w:szCs w:val="22"/>
        </w:rPr>
      </w:pPr>
    </w:p>
    <w:p w14:paraId="2B4DDB14" w14:textId="242C5BB7" w:rsidR="00D9065A" w:rsidRDefault="00D9065A" w:rsidP="00F30221">
      <w:pPr>
        <w:ind w:left="90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previous scorecard still exists as the Quality </w:t>
      </w:r>
      <w:proofErr w:type="gramStart"/>
      <w:r>
        <w:rPr>
          <w:rFonts w:ascii="Arial" w:hAnsi="Arial" w:cs="Arial"/>
          <w:sz w:val="22"/>
          <w:szCs w:val="22"/>
        </w:rPr>
        <w:t>Scorecard, and</w:t>
      </w:r>
      <w:proofErr w:type="gramEnd"/>
      <w:r>
        <w:rPr>
          <w:rFonts w:ascii="Arial" w:hAnsi="Arial" w:cs="Arial"/>
          <w:sz w:val="22"/>
          <w:szCs w:val="22"/>
        </w:rPr>
        <w:t xml:space="preserve"> can be accessed from the Performance menu and </w:t>
      </w:r>
      <w:r w:rsidR="001C1ED4">
        <w:rPr>
          <w:rFonts w:ascii="Arial" w:hAnsi="Arial" w:cs="Arial"/>
          <w:sz w:val="22"/>
          <w:szCs w:val="22"/>
        </w:rPr>
        <w:t>also via a profile link in the Additional Supplier Info section of a group profile.</w:t>
      </w:r>
    </w:p>
    <w:p w14:paraId="54C73C71" w14:textId="7A66A765" w:rsidR="001C1ED4" w:rsidRDefault="001C1ED4" w:rsidP="00F30221">
      <w:pPr>
        <w:ind w:left="90" w:firstLine="180"/>
        <w:rPr>
          <w:rFonts w:ascii="Arial" w:hAnsi="Arial" w:cs="Arial"/>
          <w:sz w:val="22"/>
          <w:szCs w:val="22"/>
        </w:rPr>
      </w:pPr>
    </w:p>
    <w:p w14:paraId="0A3F689F" w14:textId="77777777" w:rsidR="00941B01" w:rsidRDefault="00941B01" w:rsidP="00941B01">
      <w:pPr>
        <w:keepNext/>
        <w:ind w:left="90" w:firstLine="180"/>
        <w:jc w:val="center"/>
      </w:pPr>
      <w:r>
        <w:rPr>
          <w:rFonts w:eastAsia="Times New Roman"/>
          <w:noProof/>
          <w:color w:val="000000"/>
        </w:rPr>
        <w:drawing>
          <wp:inline distT="0" distB="0" distL="0" distR="0" wp14:anchorId="7F133AB7" wp14:editId="48552D3A">
            <wp:extent cx="5067300" cy="3130248"/>
            <wp:effectExtent l="0" t="0" r="0" b="0"/>
            <wp:docPr id="4" name="Picture 4" descr="Char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953" cy="315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07521" w14:textId="3B4D4D15" w:rsidR="0065652E" w:rsidRPr="00F30221" w:rsidRDefault="00941B01" w:rsidP="00941B01">
      <w:pPr>
        <w:pStyle w:val="Caption"/>
        <w:rPr>
          <w:rFonts w:ascii="Arial" w:hAnsi="Arial" w:cs="Arial"/>
          <w:sz w:val="22"/>
          <w:szCs w:val="22"/>
        </w:rPr>
      </w:pPr>
      <w:r>
        <w:t xml:space="preserve">                          Figure </w:t>
      </w:r>
      <w:fldSimple w:instr=" SEQ Figure \* ARABIC ">
        <w:r>
          <w:rPr>
            <w:noProof/>
          </w:rPr>
          <w:t>1</w:t>
        </w:r>
      </w:fldSimple>
    </w:p>
    <w:sectPr w:rsidR="0065652E" w:rsidRPr="00F30221" w:rsidSect="00F30221">
      <w:headerReference w:type="default" r:id="rId11"/>
      <w:footerReference w:type="default" r:id="rId12"/>
      <w:pgSz w:w="12240" w:h="15840"/>
      <w:pgMar w:top="2157" w:right="1440" w:bottom="1440" w:left="1440" w:header="72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AD04" w14:textId="77777777" w:rsidR="00E265A7" w:rsidRDefault="00E265A7" w:rsidP="00F30221">
      <w:r>
        <w:separator/>
      </w:r>
    </w:p>
  </w:endnote>
  <w:endnote w:type="continuationSeparator" w:id="0">
    <w:p w14:paraId="5EA7A390" w14:textId="77777777" w:rsidR="00E265A7" w:rsidRDefault="00E265A7" w:rsidP="00F3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Heavy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51FB" w14:textId="68DDA66C" w:rsidR="00F30221" w:rsidRDefault="00F30221">
    <w:pPr>
      <w:pStyle w:val="Footer"/>
    </w:pPr>
    <w:r>
      <w:rPr>
        <w:noProof/>
      </w:rPr>
      <w:drawing>
        <wp:inline distT="0" distB="0" distL="0" distR="0" wp14:anchorId="1A4668E9" wp14:editId="36CE330E">
          <wp:extent cx="5943600" cy="1225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2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8AE3" w14:textId="77777777" w:rsidR="00E265A7" w:rsidRDefault="00E265A7" w:rsidP="00F30221">
      <w:r>
        <w:separator/>
      </w:r>
    </w:p>
  </w:footnote>
  <w:footnote w:type="continuationSeparator" w:id="0">
    <w:p w14:paraId="0A4BFF50" w14:textId="77777777" w:rsidR="00E265A7" w:rsidRDefault="00E265A7" w:rsidP="00F3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1C32" w14:textId="6EA20CAE" w:rsidR="00F30221" w:rsidRPr="00F30221" w:rsidRDefault="00F30221" w:rsidP="00F302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C7CEF" wp14:editId="2EDDD951">
              <wp:simplePos x="0" y="0"/>
              <wp:positionH relativeFrom="column">
                <wp:posOffset>139700</wp:posOffset>
              </wp:positionH>
              <wp:positionV relativeFrom="paragraph">
                <wp:posOffset>609600</wp:posOffset>
              </wp:positionV>
              <wp:extent cx="5994400" cy="0"/>
              <wp:effectExtent l="0" t="12700" r="1270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44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4688C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12564C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pt,48pt" to="483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" strokecolor="#4688c7" strokeweight="2.2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C74FF54" wp14:editId="48B049A2">
          <wp:simplePos x="0" y="0"/>
          <wp:positionH relativeFrom="column">
            <wp:posOffset>-952500</wp:posOffset>
          </wp:positionH>
          <wp:positionV relativeFrom="paragraph">
            <wp:posOffset>-304800</wp:posOffset>
          </wp:positionV>
          <wp:extent cx="3632200" cy="809882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2200" cy="809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21"/>
    <w:rsid w:val="000B13BD"/>
    <w:rsid w:val="001C1ED4"/>
    <w:rsid w:val="002867B9"/>
    <w:rsid w:val="0065652E"/>
    <w:rsid w:val="00941B01"/>
    <w:rsid w:val="00D9065A"/>
    <w:rsid w:val="00E11ACA"/>
    <w:rsid w:val="00E265A7"/>
    <w:rsid w:val="00F3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F92C7"/>
  <w15:chartTrackingRefBased/>
  <w15:docId w15:val="{573B3B82-3130-1047-B00E-1A05C769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autoRedefine/>
    <w:uiPriority w:val="39"/>
    <w:rsid w:val="000B13BD"/>
    <w:pPr>
      <w:widowControl w:val="0"/>
      <w:tabs>
        <w:tab w:val="right" w:leader="dot" w:pos="8640"/>
      </w:tabs>
      <w:autoSpaceDE w:val="0"/>
      <w:autoSpaceDN w:val="0"/>
      <w:spacing w:before="122" w:line="360" w:lineRule="auto"/>
      <w:ind w:left="832"/>
    </w:pPr>
    <w:rPr>
      <w:rFonts w:ascii="Arial" w:eastAsia="Avenir-Heavy" w:hAnsi="Arial" w:cs="Avenir-Heavy"/>
      <w:b/>
      <w:bCs/>
      <w:kern w:val="10"/>
      <w:sz w:val="20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30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21"/>
  </w:style>
  <w:style w:type="paragraph" w:styleId="Footer">
    <w:name w:val="footer"/>
    <w:basedOn w:val="Normal"/>
    <w:link w:val="FooterChar"/>
    <w:uiPriority w:val="99"/>
    <w:unhideWhenUsed/>
    <w:rsid w:val="00F30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21"/>
  </w:style>
  <w:style w:type="paragraph" w:styleId="Caption">
    <w:name w:val="caption"/>
    <w:basedOn w:val="Normal"/>
    <w:next w:val="Normal"/>
    <w:uiPriority w:val="35"/>
    <w:unhideWhenUsed/>
    <w:qFormat/>
    <w:rsid w:val="00941B0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360e569f-9165-4a11-bc56-3a27dd6e8877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837ac38-b90e-4bef-9883-a52e2ebba0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CE03A14BC504790CB2C544928890E" ma:contentTypeVersion="7" ma:contentTypeDescription="Create a new document." ma:contentTypeScope="" ma:versionID="01f84f3e4c948ae26dd66c8b594743d8">
  <xsd:schema xmlns:xsd="http://www.w3.org/2001/XMLSchema" xmlns:xs="http://www.w3.org/2001/XMLSchema" xmlns:p="http://schemas.microsoft.com/office/2006/metadata/properties" xmlns:ns2="8837ac38-b90e-4bef-9883-a52e2ebba0c9" xmlns:ns3="4a4b0d2f-58f8-4264-b9da-12a6b758f41a" targetNamespace="http://schemas.microsoft.com/office/2006/metadata/properties" ma:root="true" ma:fieldsID="beb3359876b2f0c63e4cf876a7d81ca6" ns2:_="" ns3:_="">
    <xsd:import namespace="8837ac38-b90e-4bef-9883-a52e2ebba0c9"/>
    <xsd:import namespace="4a4b0d2f-58f8-4264-b9da-12a6b758f41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ac38-b90e-4bef-9883-a52e2ebba0c9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format="Dropdown" ma:internalName="Category" ma:readOnly="false">
      <xsd:simpleType>
        <xsd:restriction base="dms:Choice">
          <xsd:enumeration value="Form"/>
          <xsd:enumeration value="Logo"/>
          <xsd:enumeration value="Template"/>
          <xsd:enumeration value="Document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b0d2f-58f8-4264-b9da-12a6b758f41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C8B9A-1B5D-49B3-83F3-7DB0AD9CAB5E}">
  <ds:schemaRefs>
    <ds:schemaRef ds:uri="http://schemas.microsoft.com/office/2006/metadata/properties"/>
    <ds:schemaRef ds:uri="http://schemas.microsoft.com/office/infopath/2007/PartnerControls"/>
    <ds:schemaRef ds:uri="8837ac38-b90e-4bef-9883-a52e2ebba0c9"/>
  </ds:schemaRefs>
</ds:datastoreItem>
</file>

<file path=customXml/itemProps2.xml><?xml version="1.0" encoding="utf-8"?>
<ds:datastoreItem xmlns:ds="http://schemas.openxmlformats.org/officeDocument/2006/customXml" ds:itemID="{7B2E7A9E-C801-4347-B239-A57BBCF0F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1CB49-90A1-4727-8828-1C616CA8C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7ac38-b90e-4bef-9883-a52e2ebba0c9"/>
    <ds:schemaRef ds:uri="4a4b0d2f-58f8-4264-b9da-12a6b758f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St. Hilaire</dc:creator>
  <cp:keywords/>
  <dc:description/>
  <cp:lastModifiedBy>Wilson, Matthew E.</cp:lastModifiedBy>
  <cp:revision>3</cp:revision>
  <dcterms:created xsi:type="dcterms:W3CDTF">2022-12-01T17:50:00Z</dcterms:created>
  <dcterms:modified xsi:type="dcterms:W3CDTF">2022-12-01T18:20:00Z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0x010100F2ACE03A14BC504790CB2C544928890E</vt:lpwstr>
  </property>
</Properties>
</file>