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8921F" w14:textId="4AA448A3" w:rsidR="001F5311" w:rsidRPr="0007342A" w:rsidRDefault="00C76AEC" w:rsidP="00F91F91">
      <w:pPr>
        <w:pStyle w:val="Heading1"/>
      </w:pPr>
      <w:r>
        <w:t>P</w:t>
      </w:r>
      <w:r w:rsidR="001F5311" w:rsidRPr="0007342A">
        <w:t>rocess Owner</w:t>
      </w:r>
    </w:p>
    <w:p w14:paraId="5BB89220" w14:textId="77777777" w:rsidR="00005BC2" w:rsidRPr="0007342A" w:rsidRDefault="00EC5C2C" w:rsidP="00D346C4">
      <w:pPr>
        <w:pStyle w:val="Heading2"/>
      </w:pPr>
      <w:r w:rsidRPr="0007342A">
        <w:t>Triumph Group Suppl</w:t>
      </w:r>
      <w:r w:rsidR="00C7374C" w:rsidRPr="0007342A">
        <w:t>y Chain Management</w:t>
      </w:r>
    </w:p>
    <w:p w14:paraId="5BB89221" w14:textId="77777777" w:rsidR="001F5311" w:rsidRPr="0007342A" w:rsidRDefault="001F5311" w:rsidP="00F91F91">
      <w:pPr>
        <w:pStyle w:val="Heading1"/>
      </w:pPr>
      <w:r w:rsidRPr="0007342A">
        <w:t>Applies To</w:t>
      </w:r>
    </w:p>
    <w:p w14:paraId="5BB89222" w14:textId="77777777" w:rsidR="0091118D" w:rsidRPr="0007342A" w:rsidRDefault="009F16D9" w:rsidP="00D346C4">
      <w:pPr>
        <w:pStyle w:val="Heading2"/>
      </w:pPr>
      <w:r w:rsidRPr="009F16D9">
        <w:t xml:space="preserve">Triumph Group Supply Chain Management, Triumph Group Supplier Quality Management and Triumph Business Units as noted in the Triumph Group Supplier Quality Assurance Manual.  </w:t>
      </w:r>
      <w:r w:rsidR="00FD17FE" w:rsidRPr="0007342A">
        <w:t>Purpose</w:t>
      </w:r>
    </w:p>
    <w:p w14:paraId="5BB89223" w14:textId="77777777" w:rsidR="00E364B1" w:rsidRPr="0007342A" w:rsidRDefault="00E52F2E" w:rsidP="00F91F91">
      <w:pPr>
        <w:pStyle w:val="Heading1"/>
      </w:pPr>
      <w:r>
        <w:t>Purpose</w:t>
      </w:r>
    </w:p>
    <w:p w14:paraId="5BB89224" w14:textId="5B1FDDD6" w:rsidR="009F16D9" w:rsidRPr="0007342A" w:rsidRDefault="009F16D9" w:rsidP="00D346C4">
      <w:pPr>
        <w:pStyle w:val="Heading2"/>
      </w:pPr>
      <w:r w:rsidRPr="0007342A">
        <w:t xml:space="preserve">This </w:t>
      </w:r>
      <w:r>
        <w:t>p</w:t>
      </w:r>
      <w:r w:rsidRPr="0007342A">
        <w:t>rocedure establish</w:t>
      </w:r>
      <w:r>
        <w:t>es</w:t>
      </w:r>
      <w:r w:rsidRPr="0007342A">
        <w:t xml:space="preserve"> and document</w:t>
      </w:r>
      <w:r>
        <w:t>s</w:t>
      </w:r>
      <w:r w:rsidRPr="0007342A">
        <w:t xml:space="preserve"> the </w:t>
      </w:r>
      <w:r>
        <w:t xml:space="preserve">methods </w:t>
      </w:r>
      <w:r w:rsidRPr="0007342A">
        <w:t xml:space="preserve">employed to </w:t>
      </w:r>
      <w:r>
        <w:t>perform Supplier Capability Assessments at a supplier facility</w:t>
      </w:r>
      <w:r w:rsidR="00456930">
        <w:t xml:space="preserve"> or virtually</w:t>
      </w:r>
      <w:r>
        <w:t xml:space="preserve">.  This procedure also defines the process to </w:t>
      </w:r>
      <w:r w:rsidRPr="0007342A">
        <w:t>evaluate Triumph Group Supplier</w:t>
      </w:r>
      <w:r>
        <w:t xml:space="preserve"> capability</w:t>
      </w:r>
      <w:r w:rsidRPr="0007342A">
        <w:t xml:space="preserve"> as part of the process for approving </w:t>
      </w:r>
      <w:r>
        <w:t xml:space="preserve">or maintaining </w:t>
      </w:r>
      <w:r w:rsidRPr="0007342A">
        <w:t>suppliers for Triumph Group</w:t>
      </w:r>
    </w:p>
    <w:p w14:paraId="5BB89225" w14:textId="211B1860" w:rsidR="00EE0F82" w:rsidRPr="0007342A" w:rsidRDefault="00EE0F82" w:rsidP="00D346C4">
      <w:pPr>
        <w:pStyle w:val="Heading2"/>
      </w:pPr>
      <w:r w:rsidRPr="0007342A">
        <w:t xml:space="preserve">At the discretion of </w:t>
      </w:r>
      <w:r w:rsidR="000879BD">
        <w:t xml:space="preserve">Triumph </w:t>
      </w:r>
      <w:r w:rsidR="00B157E4">
        <w:t>Operating Companies</w:t>
      </w:r>
      <w:r w:rsidR="00D346C4">
        <w:t xml:space="preserve"> (OpCo(</w:t>
      </w:r>
      <w:r w:rsidR="00155124">
        <w:t>‘</w:t>
      </w:r>
      <w:r w:rsidR="00D346C4">
        <w:t>s))</w:t>
      </w:r>
      <w:r w:rsidR="000879BD">
        <w:t xml:space="preserve">, </w:t>
      </w:r>
      <w:r w:rsidR="00497B9C">
        <w:t>S</w:t>
      </w:r>
      <w:r w:rsidR="000B5308">
        <w:t xml:space="preserve">upplier </w:t>
      </w:r>
      <w:r w:rsidR="00497B9C">
        <w:t>C</w:t>
      </w:r>
      <w:r w:rsidR="000B5308">
        <w:t xml:space="preserve">apability </w:t>
      </w:r>
      <w:r w:rsidR="00497B9C">
        <w:t>A</w:t>
      </w:r>
      <w:r w:rsidR="002D4650">
        <w:t>ssessments</w:t>
      </w:r>
      <w:r w:rsidR="00AD4051" w:rsidRPr="0007342A">
        <w:t xml:space="preserve"> </w:t>
      </w:r>
      <w:r w:rsidR="00C57D14">
        <w:t>may</w:t>
      </w:r>
      <w:r w:rsidR="00C57D14" w:rsidRPr="0007342A">
        <w:t xml:space="preserve"> </w:t>
      </w:r>
      <w:r w:rsidRPr="0007342A">
        <w:t xml:space="preserve">be conducted to ensure </w:t>
      </w:r>
      <w:r w:rsidR="000B5308">
        <w:t xml:space="preserve">the </w:t>
      </w:r>
      <w:r w:rsidR="000879BD">
        <w:t xml:space="preserve">suppliers </w:t>
      </w:r>
      <w:r w:rsidR="00497B9C">
        <w:t>equipment, resource</w:t>
      </w:r>
      <w:r w:rsidR="002D1BA9">
        <w:t>s</w:t>
      </w:r>
      <w:r w:rsidR="00497B9C">
        <w:t xml:space="preserve">, technical and process </w:t>
      </w:r>
      <w:r w:rsidR="000B5308">
        <w:t>capabilit</w:t>
      </w:r>
      <w:r w:rsidR="002D1BA9">
        <w:t>ies are adequate</w:t>
      </w:r>
      <w:r w:rsidR="000B5308">
        <w:t xml:space="preserve"> </w:t>
      </w:r>
      <w:r w:rsidRPr="0007342A">
        <w:t xml:space="preserve">to </w:t>
      </w:r>
      <w:r w:rsidR="000B5308">
        <w:t xml:space="preserve">support </w:t>
      </w:r>
      <w:r w:rsidR="000879BD">
        <w:t>Triumph</w:t>
      </w:r>
      <w:r w:rsidRPr="0007342A">
        <w:t xml:space="preserve"> purch</w:t>
      </w:r>
      <w:r w:rsidR="007E43DC" w:rsidRPr="0007342A">
        <w:t>ase order/contract requirement</w:t>
      </w:r>
      <w:r w:rsidR="00AB18B7">
        <w:t>s. Capability assessments do not typically apply to raw material suppliers or distributors.</w:t>
      </w:r>
    </w:p>
    <w:p w14:paraId="5BB89226" w14:textId="418B9513" w:rsidR="000879BD" w:rsidRDefault="00EE0F82" w:rsidP="00D346C4">
      <w:pPr>
        <w:pStyle w:val="Heading2"/>
      </w:pPr>
      <w:r w:rsidRPr="0007342A">
        <w:t xml:space="preserve">The </w:t>
      </w:r>
      <w:r w:rsidR="005F1ADA" w:rsidRPr="0007342A">
        <w:t>T</w:t>
      </w:r>
      <w:r w:rsidR="002D1BA9">
        <w:t xml:space="preserve">riumph </w:t>
      </w:r>
      <w:r w:rsidR="00D346C4">
        <w:t>OpC</w:t>
      </w:r>
      <w:r w:rsidR="006B733B">
        <w:t>o</w:t>
      </w:r>
      <w:r w:rsidR="00C76AEC">
        <w:t xml:space="preserve"> </w:t>
      </w:r>
      <w:r w:rsidRPr="0007342A">
        <w:t>Quality</w:t>
      </w:r>
      <w:r w:rsidR="00497B9C">
        <w:t xml:space="preserve">, Engineering and </w:t>
      </w:r>
      <w:r w:rsidR="006F1B4D">
        <w:t xml:space="preserve">Procurement </w:t>
      </w:r>
      <w:r w:rsidRPr="0007342A">
        <w:t xml:space="preserve">Management reserve the right to perform </w:t>
      </w:r>
      <w:r w:rsidR="00497B9C">
        <w:t xml:space="preserve">Supplier </w:t>
      </w:r>
      <w:r w:rsidR="00A577F9">
        <w:t>Capability A</w:t>
      </w:r>
      <w:r w:rsidR="002D4650">
        <w:t>ssessments</w:t>
      </w:r>
      <w:r w:rsidR="00AD4051" w:rsidRPr="0007342A">
        <w:t xml:space="preserve"> </w:t>
      </w:r>
      <w:r w:rsidR="000879BD">
        <w:t xml:space="preserve">as </w:t>
      </w:r>
      <w:r w:rsidR="00AD4051" w:rsidRPr="0007342A">
        <w:t xml:space="preserve">necessary </w:t>
      </w:r>
      <w:r w:rsidRPr="0007342A">
        <w:t xml:space="preserve">at supplier facilities </w:t>
      </w:r>
      <w:r w:rsidR="00456930">
        <w:t xml:space="preserve">or virtually </w:t>
      </w:r>
      <w:r w:rsidRPr="0007342A">
        <w:t>when</w:t>
      </w:r>
      <w:r w:rsidR="000879BD">
        <w:t>:</w:t>
      </w:r>
    </w:p>
    <w:p w14:paraId="5BB89227" w14:textId="77777777" w:rsidR="00A577F9" w:rsidRDefault="00A577F9" w:rsidP="0066672D">
      <w:pPr>
        <w:pStyle w:val="Heading4"/>
      </w:pPr>
      <w:r>
        <w:t>A new supplier is being considered for a Triumph purchase order,</w:t>
      </w:r>
    </w:p>
    <w:p w14:paraId="5BB89228" w14:textId="77777777" w:rsidR="00A577F9" w:rsidRPr="00A577F9" w:rsidRDefault="00A577F9" w:rsidP="0066672D">
      <w:pPr>
        <w:pStyle w:val="Heading4"/>
      </w:pPr>
      <w:r>
        <w:t>An existing supplier is expanding their current level of Triumph work</w:t>
      </w:r>
      <w:r w:rsidR="009F16D9">
        <w:t xml:space="preserve"> scope</w:t>
      </w:r>
      <w:r>
        <w:t>,</w:t>
      </w:r>
    </w:p>
    <w:p w14:paraId="5BB89229" w14:textId="77777777" w:rsidR="000879BD" w:rsidRDefault="000879BD" w:rsidP="0066672D">
      <w:pPr>
        <w:pStyle w:val="Heading4"/>
      </w:pPr>
      <w:r>
        <w:t>P</w:t>
      </w:r>
      <w:r w:rsidR="00EE0F82" w:rsidRPr="0007342A">
        <w:t xml:space="preserve">roduct quality </w:t>
      </w:r>
      <w:r w:rsidR="006F1B4D">
        <w:t xml:space="preserve">or delivery performance </w:t>
      </w:r>
      <w:r w:rsidR="00A577F9">
        <w:t xml:space="preserve">has </w:t>
      </w:r>
      <w:r w:rsidR="00EE0F82" w:rsidRPr="0007342A">
        <w:t xml:space="preserve">become unacceptable,  </w:t>
      </w:r>
    </w:p>
    <w:p w14:paraId="5BB8922A" w14:textId="77777777" w:rsidR="000879BD" w:rsidRDefault="000879BD" w:rsidP="0066672D">
      <w:pPr>
        <w:pStyle w:val="Heading4"/>
      </w:pPr>
      <w:r>
        <w:t>The supplier is designated as critical or produces critical components</w:t>
      </w:r>
    </w:p>
    <w:p w14:paraId="5BB8922C" w14:textId="77777777" w:rsidR="00D851B3" w:rsidRPr="0007342A" w:rsidRDefault="00FD17FE" w:rsidP="00F91F91">
      <w:pPr>
        <w:pStyle w:val="Heading1"/>
      </w:pPr>
      <w:r w:rsidRPr="0007342A">
        <w:t>Reference Documents</w:t>
      </w:r>
    </w:p>
    <w:p w14:paraId="5BB8922D" w14:textId="616D8135" w:rsidR="00553218" w:rsidRDefault="00553218" w:rsidP="00D346C4">
      <w:pPr>
        <w:pStyle w:val="StyleHeading2TahomaCharCharCharCharChar"/>
      </w:pPr>
      <w:r w:rsidRPr="0007342A">
        <w:t xml:space="preserve">SQAM001 – Triumph Supplier Quality </w:t>
      </w:r>
      <w:r w:rsidR="001540C6">
        <w:t xml:space="preserve">Assurance </w:t>
      </w:r>
      <w:r w:rsidRPr="0007342A">
        <w:t>Manual</w:t>
      </w:r>
    </w:p>
    <w:p w14:paraId="4102A7A5" w14:textId="00DCDF3A" w:rsidR="00874C84" w:rsidRDefault="00874C84" w:rsidP="00D346C4">
      <w:pPr>
        <w:pStyle w:val="StyleHeading2TahomaCharCharCharCharChar"/>
      </w:pPr>
      <w:r>
        <w:t>SCMP 9.1 Supplier Development</w:t>
      </w:r>
    </w:p>
    <w:p w14:paraId="346C55A4" w14:textId="61B41804" w:rsidR="00456930" w:rsidRDefault="002E0333" w:rsidP="00D346C4">
      <w:pPr>
        <w:pStyle w:val="StyleHeading2TahomaCharCharCharCharChar"/>
      </w:pPr>
      <w:r>
        <w:t xml:space="preserve">Form </w:t>
      </w:r>
      <w:r w:rsidR="00456930">
        <w:t>SCMP 3.3 (a) Notification of Supplier Capability Assessment</w:t>
      </w:r>
    </w:p>
    <w:p w14:paraId="746887DB" w14:textId="475C7A5B" w:rsidR="00456930" w:rsidRDefault="002E0333" w:rsidP="00D346C4">
      <w:pPr>
        <w:pStyle w:val="StyleHeading2TahomaCharCharCharCharChar"/>
      </w:pPr>
      <w:r>
        <w:t xml:space="preserve">Form </w:t>
      </w:r>
      <w:r w:rsidR="00456930">
        <w:t>SCMP 3.3 (b) Supplier Capability Assessment</w:t>
      </w:r>
    </w:p>
    <w:p w14:paraId="4BBCCA1E" w14:textId="55328052" w:rsidR="00362292" w:rsidRPr="0007342A" w:rsidRDefault="002E0333" w:rsidP="00D346C4">
      <w:pPr>
        <w:pStyle w:val="StyleHeading2TahomaCharCharCharCharChar"/>
      </w:pPr>
      <w:r>
        <w:t xml:space="preserve">Form </w:t>
      </w:r>
      <w:r w:rsidR="569893BD">
        <w:t>SCMP 3.3 (</w:t>
      </w:r>
      <w:r w:rsidR="00DF4DBB">
        <w:t>d</w:t>
      </w:r>
      <w:r w:rsidR="569893BD">
        <w:t>) Service Provider Capability Assessment</w:t>
      </w:r>
    </w:p>
    <w:p w14:paraId="2D63B726" w14:textId="5556F95E" w:rsidR="00AC35FF" w:rsidRDefault="33A625EC" w:rsidP="00D346C4">
      <w:pPr>
        <w:pStyle w:val="StyleHeading2TahomaCharCharCharCharChar"/>
      </w:pPr>
      <w:r>
        <w:t>TSCMT 3.9 Add New Appraisal to Profile</w:t>
      </w:r>
    </w:p>
    <w:p w14:paraId="233F7ACE" w14:textId="70971AF6" w:rsidR="4BF16979" w:rsidRPr="00AC35FF" w:rsidRDefault="00AC35FF" w:rsidP="00AC35FF">
      <w:pPr>
        <w:suppressAutoHyphens w:val="0"/>
        <w:spacing w:before="0" w:after="0"/>
      </w:pPr>
      <w:r>
        <w:br w:type="page"/>
      </w:r>
    </w:p>
    <w:p w14:paraId="5BB8922E" w14:textId="77777777" w:rsidR="00E364B1" w:rsidRPr="0007342A" w:rsidRDefault="00FD17FE" w:rsidP="00F91F91">
      <w:pPr>
        <w:pStyle w:val="Heading1"/>
      </w:pPr>
      <w:r w:rsidRPr="0007342A">
        <w:lastRenderedPageBreak/>
        <w:t>Definitions and Acronyms</w:t>
      </w:r>
    </w:p>
    <w:tbl>
      <w:tblPr>
        <w:tblW w:w="10440" w:type="dxa"/>
        <w:tblInd w:w="-4" w:type="dxa"/>
        <w:tblLayout w:type="fixed"/>
        <w:tblCellMar>
          <w:left w:w="86" w:type="dxa"/>
          <w:right w:w="115" w:type="dxa"/>
        </w:tblCellMar>
        <w:tblLook w:val="0000" w:firstRow="0" w:lastRow="0" w:firstColumn="0" w:lastColumn="0" w:noHBand="0" w:noVBand="0"/>
      </w:tblPr>
      <w:tblGrid>
        <w:gridCol w:w="3334"/>
        <w:gridCol w:w="7106"/>
      </w:tblGrid>
      <w:tr w:rsidR="0048612C" w:rsidRPr="0007342A" w14:paraId="5BB89231" w14:textId="77777777" w:rsidTr="001D510C">
        <w:tc>
          <w:tcPr>
            <w:tcW w:w="3334" w:type="dxa"/>
          </w:tcPr>
          <w:p w14:paraId="5BB8922F" w14:textId="077A79E5" w:rsidR="0048612C" w:rsidRPr="009F45F4" w:rsidRDefault="0048612C" w:rsidP="00D346C4">
            <w:pPr>
              <w:pStyle w:val="Heading2"/>
            </w:pPr>
            <w:r w:rsidRPr="009F45F4">
              <w:t>Supplier Assessment</w:t>
            </w:r>
          </w:p>
        </w:tc>
        <w:tc>
          <w:tcPr>
            <w:tcW w:w="7106" w:type="dxa"/>
          </w:tcPr>
          <w:p w14:paraId="5BB89230" w14:textId="6B3D8AB3" w:rsidR="0048612C" w:rsidRDefault="0048612C" w:rsidP="00696C0B">
            <w:pPr>
              <w:ind w:left="180"/>
            </w:pPr>
            <w:r>
              <w:t>A formal documented activity performed at a Supplier’s facility</w:t>
            </w:r>
            <w:r w:rsidR="0451913E">
              <w:t xml:space="preserve"> or virtually</w:t>
            </w:r>
            <w:r>
              <w:t xml:space="preserve"> by Triumph personnel </w:t>
            </w:r>
            <w:r w:rsidR="00FE5CCC">
              <w:t>to</w:t>
            </w:r>
            <w:r>
              <w:t xml:space="preserve"> assess capability of targeted systems and measures of performance to determine supplier utilization risk</w:t>
            </w:r>
          </w:p>
        </w:tc>
      </w:tr>
      <w:tr w:rsidR="0025566B" w:rsidRPr="0007342A" w14:paraId="5BB89234" w14:textId="77777777" w:rsidTr="001D510C">
        <w:tc>
          <w:tcPr>
            <w:tcW w:w="3334" w:type="dxa"/>
          </w:tcPr>
          <w:p w14:paraId="5BB89232" w14:textId="00A30296" w:rsidR="0025566B" w:rsidRPr="007C0F72" w:rsidRDefault="0025566B" w:rsidP="00D346C4">
            <w:pPr>
              <w:pStyle w:val="Heading2"/>
            </w:pPr>
            <w:r>
              <w:t>Triumph Assessor</w:t>
            </w:r>
          </w:p>
        </w:tc>
        <w:tc>
          <w:tcPr>
            <w:tcW w:w="7106" w:type="dxa"/>
          </w:tcPr>
          <w:p w14:paraId="5BB89233" w14:textId="77777777" w:rsidR="0025566B" w:rsidRPr="007C0F72" w:rsidRDefault="0025566B" w:rsidP="00696C0B">
            <w:pPr>
              <w:spacing w:after="0"/>
              <w:ind w:left="180"/>
            </w:pPr>
            <w:r>
              <w:t>Triumph employee or representative that is leading an assessment activity</w:t>
            </w:r>
          </w:p>
        </w:tc>
      </w:tr>
      <w:tr w:rsidR="0025566B" w:rsidRPr="0007342A" w14:paraId="5BB89237" w14:textId="77777777" w:rsidTr="001D510C">
        <w:tc>
          <w:tcPr>
            <w:tcW w:w="3334" w:type="dxa"/>
          </w:tcPr>
          <w:p w14:paraId="5BB89235" w14:textId="77777777" w:rsidR="0025566B" w:rsidRPr="006F4C83" w:rsidRDefault="00EE2CDF" w:rsidP="00D346C4">
            <w:pPr>
              <w:pStyle w:val="Heading2"/>
              <w:rPr>
                <w:color w:val="0A14DC"/>
                <w:u w:val="single"/>
              </w:rPr>
            </w:pPr>
            <w:hyperlink r:id="rId12" w:history="1">
              <w:r w:rsidR="0025566B" w:rsidRPr="0047506E">
                <w:rPr>
                  <w:rStyle w:val="Hyperlink"/>
                </w:rPr>
                <w:t>triumphsupplysource.com</w:t>
              </w:r>
            </w:hyperlink>
          </w:p>
        </w:tc>
        <w:tc>
          <w:tcPr>
            <w:tcW w:w="7106" w:type="dxa"/>
          </w:tcPr>
          <w:p w14:paraId="5BB89236" w14:textId="767C7911" w:rsidR="0025566B" w:rsidRPr="002B2B92" w:rsidRDefault="461F40A3" w:rsidP="00696C0B">
            <w:pPr>
              <w:pStyle w:val="PlainIndent"/>
              <w:ind w:left="180"/>
            </w:pPr>
            <w:r>
              <w:t>Triumph Supplier Portal.  Website that houses the Triumph Group approved supplier list, supplier performance and supplier requirements.  Often referred to as “the system” or “the portal”</w:t>
            </w:r>
          </w:p>
        </w:tc>
      </w:tr>
      <w:tr w:rsidR="00ED0891" w:rsidRPr="0007342A" w14:paraId="7F9200AF" w14:textId="77777777" w:rsidTr="001D510C">
        <w:tc>
          <w:tcPr>
            <w:tcW w:w="3334" w:type="dxa"/>
          </w:tcPr>
          <w:p w14:paraId="799B2F44" w14:textId="0CCC57A6" w:rsidR="00ED0891" w:rsidRDefault="00ED0891" w:rsidP="00D346C4">
            <w:pPr>
              <w:pStyle w:val="Heading2"/>
            </w:pPr>
            <w:r>
              <w:t>SCMP</w:t>
            </w:r>
          </w:p>
        </w:tc>
        <w:tc>
          <w:tcPr>
            <w:tcW w:w="7106" w:type="dxa"/>
          </w:tcPr>
          <w:p w14:paraId="51713884" w14:textId="462B32E3" w:rsidR="00ED0891" w:rsidRDefault="00ED0891" w:rsidP="00696C0B">
            <w:pPr>
              <w:pStyle w:val="PlainIndent"/>
              <w:ind w:left="180"/>
            </w:pPr>
            <w:r>
              <w:t>Supply Chain Management Procedure</w:t>
            </w:r>
          </w:p>
        </w:tc>
      </w:tr>
      <w:tr w:rsidR="00ED0891" w:rsidRPr="0007342A" w14:paraId="0943F5D1" w14:textId="77777777" w:rsidTr="001D510C">
        <w:tc>
          <w:tcPr>
            <w:tcW w:w="3334" w:type="dxa"/>
          </w:tcPr>
          <w:p w14:paraId="74F146F5" w14:textId="4D63986C" w:rsidR="00ED0891" w:rsidRDefault="00ED0891" w:rsidP="00D346C4">
            <w:pPr>
              <w:pStyle w:val="Heading2"/>
            </w:pPr>
            <w:r>
              <w:t>T</w:t>
            </w:r>
            <w:r w:rsidR="009B4A3D">
              <w:t>SC</w:t>
            </w:r>
            <w:r>
              <w:t>MT</w:t>
            </w:r>
          </w:p>
        </w:tc>
        <w:tc>
          <w:tcPr>
            <w:tcW w:w="7106" w:type="dxa"/>
          </w:tcPr>
          <w:p w14:paraId="673C2428" w14:textId="43381974" w:rsidR="00ED0891" w:rsidRDefault="009B4A3D" w:rsidP="00696C0B">
            <w:pPr>
              <w:pStyle w:val="PlainIndent"/>
              <w:ind w:left="180"/>
            </w:pPr>
            <w:r>
              <w:t>Triumph Supply Chain Management Training</w:t>
            </w:r>
          </w:p>
        </w:tc>
      </w:tr>
      <w:tr w:rsidR="00ED0891" w:rsidRPr="0007342A" w14:paraId="3CBA7B3E" w14:textId="77777777" w:rsidTr="001D510C">
        <w:tc>
          <w:tcPr>
            <w:tcW w:w="3334" w:type="dxa"/>
          </w:tcPr>
          <w:p w14:paraId="7B078B00" w14:textId="04609BF6" w:rsidR="00ED0891" w:rsidRDefault="00ED0891" w:rsidP="00D346C4">
            <w:pPr>
              <w:pStyle w:val="Heading2"/>
            </w:pPr>
            <w:r>
              <w:t>SQAM</w:t>
            </w:r>
          </w:p>
        </w:tc>
        <w:tc>
          <w:tcPr>
            <w:tcW w:w="7106" w:type="dxa"/>
          </w:tcPr>
          <w:p w14:paraId="6B6C81BF" w14:textId="39CB4835" w:rsidR="00ED0891" w:rsidRDefault="00ED0891" w:rsidP="00696C0B">
            <w:pPr>
              <w:pStyle w:val="PlainIndent"/>
              <w:ind w:left="180"/>
            </w:pPr>
            <w:r>
              <w:t>Supplier Quality</w:t>
            </w:r>
            <w:r w:rsidR="009B4A3D">
              <w:t xml:space="preserve"> Assurance Manual</w:t>
            </w:r>
          </w:p>
        </w:tc>
      </w:tr>
      <w:tr w:rsidR="00ED0891" w:rsidRPr="0007342A" w14:paraId="7E9253D9" w14:textId="77777777" w:rsidTr="001D510C">
        <w:tc>
          <w:tcPr>
            <w:tcW w:w="3334" w:type="dxa"/>
          </w:tcPr>
          <w:p w14:paraId="2E8568CB" w14:textId="5C89F7D6" w:rsidR="00ED0891" w:rsidRDefault="00ED0891" w:rsidP="00D346C4">
            <w:pPr>
              <w:pStyle w:val="Heading2"/>
            </w:pPr>
            <w:r>
              <w:t>Service Provider</w:t>
            </w:r>
          </w:p>
        </w:tc>
        <w:tc>
          <w:tcPr>
            <w:tcW w:w="7106" w:type="dxa"/>
          </w:tcPr>
          <w:p w14:paraId="4F11F289" w14:textId="6FF23A23" w:rsidR="00ED0891" w:rsidRDefault="00ED0891" w:rsidP="00696C0B">
            <w:pPr>
              <w:pStyle w:val="PlainIndent"/>
              <w:ind w:left="180"/>
            </w:pPr>
            <w:r>
              <w:t>Product-related service provider including non-destructive testing, coatings, plating, etc. May include tooling or engineering services but does not include janitorial or other non-product related services.</w:t>
            </w:r>
          </w:p>
        </w:tc>
      </w:tr>
      <w:tr w:rsidR="00D346C4" w:rsidRPr="0007342A" w14:paraId="4BD5486E" w14:textId="77777777" w:rsidTr="001D510C">
        <w:tc>
          <w:tcPr>
            <w:tcW w:w="3334" w:type="dxa"/>
          </w:tcPr>
          <w:p w14:paraId="51AAB322" w14:textId="703D929A" w:rsidR="00D346C4" w:rsidRDefault="00D346C4" w:rsidP="00D346C4">
            <w:pPr>
              <w:pStyle w:val="Heading2"/>
            </w:pPr>
            <w:r>
              <w:t>OpCo</w:t>
            </w:r>
          </w:p>
        </w:tc>
        <w:tc>
          <w:tcPr>
            <w:tcW w:w="7106" w:type="dxa"/>
          </w:tcPr>
          <w:p w14:paraId="1CA6F36C" w14:textId="64109F76" w:rsidR="00D346C4" w:rsidRDefault="00D346C4" w:rsidP="00696C0B">
            <w:pPr>
              <w:pStyle w:val="PlainIndent"/>
              <w:ind w:left="180"/>
            </w:pPr>
            <w:r>
              <w:t>Operating Company</w:t>
            </w:r>
          </w:p>
        </w:tc>
      </w:tr>
    </w:tbl>
    <w:p w14:paraId="5BB89238" w14:textId="77777777" w:rsidR="00E364B1" w:rsidRPr="0007342A" w:rsidRDefault="00FD17FE" w:rsidP="00F91F91">
      <w:pPr>
        <w:pStyle w:val="Heading1"/>
      </w:pPr>
      <w:r w:rsidRPr="0007342A">
        <w:t>Responsibilities</w:t>
      </w:r>
    </w:p>
    <w:p w14:paraId="5BB89239" w14:textId="77777777" w:rsidR="009F16D9" w:rsidRPr="00D9205D" w:rsidRDefault="009F16D9" w:rsidP="00D346C4">
      <w:pPr>
        <w:pStyle w:val="Heading2"/>
      </w:pPr>
      <w:r w:rsidRPr="00D9205D">
        <w:t xml:space="preserve">Responsibilities are defined in the </w:t>
      </w:r>
      <w:r>
        <w:t>body of this procedure</w:t>
      </w:r>
    </w:p>
    <w:p w14:paraId="5BB8923A" w14:textId="77777777" w:rsidR="00E364B1" w:rsidRPr="0007342A" w:rsidRDefault="00FD17FE" w:rsidP="00F91F91">
      <w:pPr>
        <w:pStyle w:val="Heading1"/>
      </w:pPr>
      <w:r w:rsidRPr="0007342A">
        <w:t>Procedur</w:t>
      </w:r>
      <w:r w:rsidR="000E6829" w:rsidRPr="0007342A">
        <w:t>e</w:t>
      </w:r>
    </w:p>
    <w:p w14:paraId="5BB8923B" w14:textId="77777777" w:rsidR="00EE0F82" w:rsidRPr="0007342A" w:rsidRDefault="00EE0F82" w:rsidP="00D346C4">
      <w:pPr>
        <w:pStyle w:val="Heading2"/>
      </w:pPr>
      <w:r w:rsidRPr="0007342A">
        <w:t>Accessing the Electronic Forms</w:t>
      </w:r>
    </w:p>
    <w:p w14:paraId="5BB8923C" w14:textId="08A6F768" w:rsidR="00EE0F82" w:rsidRPr="0007342A" w:rsidRDefault="00EE0F82" w:rsidP="0066672D">
      <w:pPr>
        <w:pStyle w:val="Heading4"/>
      </w:pPr>
      <w:r w:rsidRPr="0007342A">
        <w:t xml:space="preserve">Master copies of the </w:t>
      </w:r>
      <w:r w:rsidR="00497B9C">
        <w:t>Supplier Capability A</w:t>
      </w:r>
      <w:r w:rsidRPr="0007342A">
        <w:t xml:space="preserve">ssessment </w:t>
      </w:r>
      <w:r w:rsidR="002D4650">
        <w:t>f</w:t>
      </w:r>
      <w:r w:rsidRPr="0007342A">
        <w:t xml:space="preserve">orms are located </w:t>
      </w:r>
      <w:r w:rsidR="00672CF8">
        <w:t>within</w:t>
      </w:r>
      <w:r w:rsidR="009B060B" w:rsidRPr="0007342A">
        <w:t xml:space="preserve"> </w:t>
      </w:r>
      <w:hyperlink r:id="rId13" w:history="1">
        <w:proofErr w:type="spellStart"/>
        <w:r w:rsidR="009B060B" w:rsidRPr="006810B9">
          <w:rPr>
            <w:rStyle w:val="Hyperlink"/>
          </w:rPr>
          <w:t>triu</w:t>
        </w:r>
        <w:r w:rsidR="009B060B" w:rsidRPr="007F2602">
          <w:rPr>
            <w:rStyle w:val="Hyperlink"/>
          </w:rPr>
          <w:t>mphsupplyso</w:t>
        </w:r>
        <w:r w:rsidR="009B060B" w:rsidRPr="006810B9">
          <w:rPr>
            <w:rStyle w:val="Hyperlink"/>
          </w:rPr>
          <w:t>urce.com</w:t>
        </w:r>
      </w:hyperlink>
      <w:r w:rsidR="006810B9" w:rsidRPr="006810B9">
        <w:rPr>
          <w:rFonts w:ascii="Wingdings 3" w:eastAsia="Wingdings 3" w:hAnsi="Wingdings 3" w:cs="Wingdings 3"/>
          <w:color w:val="000000"/>
        </w:rPr>
        <w:t>□</w:t>
      </w:r>
      <w:r w:rsidR="006810B9" w:rsidRPr="006810B9">
        <w:rPr>
          <w:color w:val="000000"/>
        </w:rPr>
        <w:t>Resource</w:t>
      </w:r>
      <w:proofErr w:type="spellEnd"/>
      <w:r w:rsidR="006810B9" w:rsidRPr="006810B9">
        <w:rPr>
          <w:color w:val="000000"/>
        </w:rPr>
        <w:t xml:space="preserve"> </w:t>
      </w:r>
      <w:proofErr w:type="spellStart"/>
      <w:r w:rsidR="006810B9" w:rsidRPr="006810B9">
        <w:rPr>
          <w:color w:val="000000"/>
        </w:rPr>
        <w:t>Documents</w:t>
      </w:r>
      <w:r w:rsidR="006810B9" w:rsidRPr="006810B9">
        <w:rPr>
          <w:rFonts w:ascii="Wingdings 3" w:eastAsia="Wingdings 3" w:hAnsi="Wingdings 3" w:cs="Wingdings 3"/>
          <w:color w:val="000000"/>
        </w:rPr>
        <w:t>□</w:t>
      </w:r>
      <w:r w:rsidR="006810B9" w:rsidRPr="006810B9">
        <w:rPr>
          <w:color w:val="000000"/>
        </w:rPr>
        <w:t>SCMP</w:t>
      </w:r>
      <w:proofErr w:type="spellEnd"/>
      <w:r w:rsidR="006810B9" w:rsidRPr="006810B9">
        <w:rPr>
          <w:color w:val="000000"/>
        </w:rPr>
        <w:t xml:space="preserve"> Documents</w:t>
      </w:r>
      <w:r w:rsidRPr="0007342A">
        <w:t xml:space="preserve">.  To avoid revision control issues, </w:t>
      </w:r>
      <w:r w:rsidR="00672CF8">
        <w:t xml:space="preserve">forms </w:t>
      </w:r>
      <w:r w:rsidRPr="0007342A">
        <w:t>are to be downloaded prior to each use and not stored on individual computers</w:t>
      </w:r>
    </w:p>
    <w:p w14:paraId="5BB8923D" w14:textId="086E0C21" w:rsidR="00EE0F82" w:rsidRPr="0007342A" w:rsidRDefault="00EE0F82" w:rsidP="0066672D">
      <w:pPr>
        <w:pStyle w:val="Heading4"/>
      </w:pPr>
      <w:r w:rsidRPr="0007342A">
        <w:t xml:space="preserve">The forms used for </w:t>
      </w:r>
      <w:r w:rsidR="00497B9C">
        <w:t>S</w:t>
      </w:r>
      <w:r w:rsidRPr="0007342A">
        <w:t xml:space="preserve">upplier </w:t>
      </w:r>
      <w:r w:rsidR="00497B9C">
        <w:t xml:space="preserve">Capability </w:t>
      </w:r>
      <w:r w:rsidR="009F16D9">
        <w:t>A</w:t>
      </w:r>
      <w:r w:rsidRPr="0007342A">
        <w:t>ssessments are MS Excel</w:t>
      </w:r>
      <w:r w:rsidRPr="0007342A">
        <w:rPr>
          <w:vertAlign w:val="subscript"/>
        </w:rPr>
        <w:t>®</w:t>
      </w:r>
      <w:r w:rsidR="002A3FD2" w:rsidRPr="0007342A">
        <w:t xml:space="preserve"> based </w:t>
      </w:r>
      <w:r w:rsidR="008C4FB4" w:rsidRPr="0007342A">
        <w:t xml:space="preserve">and </w:t>
      </w:r>
      <w:r w:rsidRPr="0007342A">
        <w:t>are not to be modified</w:t>
      </w:r>
    </w:p>
    <w:p w14:paraId="5BB8923E" w14:textId="07924467" w:rsidR="00EE0F82" w:rsidRDefault="006F1B4D" w:rsidP="0066672D">
      <w:pPr>
        <w:pStyle w:val="Heading4"/>
      </w:pPr>
      <w:r>
        <w:t>S</w:t>
      </w:r>
      <w:r w:rsidR="00EE0F82" w:rsidRPr="0007342A">
        <w:t xml:space="preserve">uppliers </w:t>
      </w:r>
      <w:r>
        <w:t xml:space="preserve">may </w:t>
      </w:r>
      <w:r w:rsidR="00EE0F82" w:rsidRPr="0007342A">
        <w:t xml:space="preserve">be provided copies of the </w:t>
      </w:r>
      <w:r w:rsidR="00497B9C">
        <w:t>S</w:t>
      </w:r>
      <w:r w:rsidR="00EE0F82" w:rsidRPr="0007342A">
        <w:t xml:space="preserve">upplier </w:t>
      </w:r>
      <w:r w:rsidR="00497B9C">
        <w:t>C</w:t>
      </w:r>
      <w:r w:rsidR="00681274">
        <w:t>apability</w:t>
      </w:r>
      <w:r w:rsidR="0048612C">
        <w:t xml:space="preserve"> </w:t>
      </w:r>
      <w:r w:rsidR="00497B9C">
        <w:t>A</w:t>
      </w:r>
      <w:r w:rsidR="00EE0F82" w:rsidRPr="0007342A">
        <w:t>ssessment</w:t>
      </w:r>
      <w:r w:rsidR="002604D3" w:rsidRPr="0007342A">
        <w:t xml:space="preserve"> for preparatory purposes</w:t>
      </w:r>
    </w:p>
    <w:p w14:paraId="5BB8923F" w14:textId="0FD0F107" w:rsidR="00696C0B" w:rsidRDefault="004F475F" w:rsidP="00C76AEC">
      <w:pPr>
        <w:pStyle w:val="Heading5"/>
        <w:rPr>
          <w:color w:val="000000"/>
        </w:rPr>
      </w:pPr>
      <w:r>
        <w:t>Copies</w:t>
      </w:r>
      <w:r w:rsidR="00E523DB" w:rsidRPr="0007342A">
        <w:t xml:space="preserve"> of the </w:t>
      </w:r>
      <w:r w:rsidR="00E523DB">
        <w:t>Supplier Capability A</w:t>
      </w:r>
      <w:r w:rsidR="00E523DB" w:rsidRPr="0007342A">
        <w:t xml:space="preserve">ssessment </w:t>
      </w:r>
      <w:r w:rsidR="00E523DB">
        <w:t>f</w:t>
      </w:r>
      <w:r w:rsidR="00E523DB" w:rsidRPr="0007342A">
        <w:t xml:space="preserve">orms are located </w:t>
      </w:r>
      <w:r w:rsidR="00E523DB">
        <w:t>within</w:t>
      </w:r>
      <w:r w:rsidR="00E523DB" w:rsidRPr="0007342A">
        <w:t xml:space="preserve"> </w:t>
      </w:r>
      <w:hyperlink r:id="rId14" w:history="1">
        <w:proofErr w:type="spellStart"/>
        <w:r w:rsidR="00E523DB" w:rsidRPr="006810B9">
          <w:rPr>
            <w:rStyle w:val="Hyperlink"/>
          </w:rPr>
          <w:t>triu</w:t>
        </w:r>
        <w:r w:rsidR="00E523DB" w:rsidRPr="007F2602">
          <w:rPr>
            <w:rStyle w:val="Hyperlink"/>
          </w:rPr>
          <w:t>mphsupplyso</w:t>
        </w:r>
        <w:r w:rsidR="00E523DB" w:rsidRPr="006810B9">
          <w:rPr>
            <w:rStyle w:val="Hyperlink"/>
          </w:rPr>
          <w:t>urce.com</w:t>
        </w:r>
      </w:hyperlink>
      <w:r w:rsidR="00E523DB" w:rsidRPr="006810B9">
        <w:rPr>
          <w:rFonts w:ascii="Wingdings 3" w:eastAsia="Wingdings 3" w:hAnsi="Wingdings 3" w:cs="Wingdings 3"/>
          <w:color w:val="000000"/>
        </w:rPr>
        <w:t>□</w:t>
      </w:r>
      <w:r w:rsidR="00E523DB" w:rsidRPr="006810B9">
        <w:rPr>
          <w:color w:val="000000"/>
        </w:rPr>
        <w:t>Resource</w:t>
      </w:r>
      <w:proofErr w:type="spellEnd"/>
      <w:r w:rsidR="00E523DB" w:rsidRPr="006810B9">
        <w:rPr>
          <w:color w:val="000000"/>
        </w:rPr>
        <w:t xml:space="preserve"> </w:t>
      </w:r>
      <w:proofErr w:type="spellStart"/>
      <w:r w:rsidR="00E523DB" w:rsidRPr="006810B9">
        <w:rPr>
          <w:color w:val="000000"/>
        </w:rPr>
        <w:t>Documents</w:t>
      </w:r>
      <w:r w:rsidR="00E523DB" w:rsidRPr="006810B9">
        <w:rPr>
          <w:rFonts w:ascii="Wingdings 3" w:eastAsia="Wingdings 3" w:hAnsi="Wingdings 3" w:cs="Wingdings 3"/>
          <w:color w:val="000000"/>
        </w:rPr>
        <w:t>□</w:t>
      </w:r>
      <w:r w:rsidR="00E523DB" w:rsidRPr="006810B9">
        <w:rPr>
          <w:color w:val="000000"/>
        </w:rPr>
        <w:t>SCMP</w:t>
      </w:r>
      <w:proofErr w:type="spellEnd"/>
      <w:r w:rsidR="00E523DB" w:rsidRPr="006810B9">
        <w:rPr>
          <w:color w:val="000000"/>
        </w:rPr>
        <w:t xml:space="preserve"> Documents</w:t>
      </w:r>
    </w:p>
    <w:p w14:paraId="55FAC128" w14:textId="76F959CD" w:rsidR="00E523DB" w:rsidRPr="00696C0B" w:rsidRDefault="00696C0B" w:rsidP="00696C0B">
      <w:pPr>
        <w:suppressAutoHyphens w:val="0"/>
        <w:spacing w:before="0" w:after="0"/>
        <w:rPr>
          <w:color w:val="000000"/>
        </w:rPr>
      </w:pPr>
      <w:r>
        <w:rPr>
          <w:color w:val="000000"/>
        </w:rPr>
        <w:br w:type="page"/>
      </w:r>
    </w:p>
    <w:p w14:paraId="5BB89240" w14:textId="77777777" w:rsidR="008C4FB4" w:rsidRPr="0007342A" w:rsidRDefault="008C4FB4" w:rsidP="00D346C4">
      <w:pPr>
        <w:pStyle w:val="Heading2"/>
      </w:pPr>
      <w:r w:rsidRPr="0007342A">
        <w:lastRenderedPageBreak/>
        <w:t xml:space="preserve">Supplier </w:t>
      </w:r>
      <w:r w:rsidR="00681274">
        <w:t>Capability</w:t>
      </w:r>
      <w:r w:rsidR="00567DF1">
        <w:t xml:space="preserve"> </w:t>
      </w:r>
      <w:r w:rsidRPr="0007342A">
        <w:t>Assessment</w:t>
      </w:r>
      <w:r w:rsidR="00567DF1">
        <w:t>s</w:t>
      </w:r>
    </w:p>
    <w:p w14:paraId="5BB89241" w14:textId="01E82095" w:rsidR="00B852C9" w:rsidRPr="0007342A" w:rsidRDefault="00497B9C" w:rsidP="0066672D">
      <w:pPr>
        <w:pStyle w:val="Heading4"/>
      </w:pPr>
      <w:r>
        <w:t>Supplier</w:t>
      </w:r>
      <w:r w:rsidR="00567DF1">
        <w:t xml:space="preserve"> </w:t>
      </w:r>
      <w:r w:rsidR="00681274">
        <w:t>Capability A</w:t>
      </w:r>
      <w:r w:rsidR="002D4650">
        <w:t>ssessments</w:t>
      </w:r>
      <w:r w:rsidR="00B852C9" w:rsidRPr="0007342A">
        <w:t xml:space="preserve"> </w:t>
      </w:r>
      <w:r w:rsidR="009B060B" w:rsidRPr="0007342A">
        <w:t xml:space="preserve">are </w:t>
      </w:r>
      <w:r w:rsidR="00B852C9" w:rsidRPr="0007342A">
        <w:t xml:space="preserve">used to ensure </w:t>
      </w:r>
      <w:r w:rsidR="002D4650">
        <w:t>a supplier</w:t>
      </w:r>
      <w:r w:rsidR="00681274">
        <w:t xml:space="preserve"> </w:t>
      </w:r>
      <w:proofErr w:type="gramStart"/>
      <w:r w:rsidR="00B94B5B">
        <w:t xml:space="preserve">is capable of </w:t>
      </w:r>
      <w:r w:rsidR="00681274">
        <w:t>supporting</w:t>
      </w:r>
      <w:proofErr w:type="gramEnd"/>
      <w:r w:rsidR="00681274">
        <w:t xml:space="preserve"> a specific Triumph work scope and</w:t>
      </w:r>
      <w:r w:rsidR="002D4650">
        <w:t xml:space="preserve"> </w:t>
      </w:r>
      <w:r w:rsidR="00B94B5B">
        <w:t xml:space="preserve">the requirements of </w:t>
      </w:r>
      <w:r w:rsidR="00B852C9" w:rsidRPr="0007342A">
        <w:t>SQAM001 – Triumph Supplier Quality Manual and customer requirements</w:t>
      </w:r>
    </w:p>
    <w:p w14:paraId="5BB89242" w14:textId="79C6F691" w:rsidR="008C4FB4" w:rsidRPr="00DA364D" w:rsidRDefault="00734901" w:rsidP="0066672D">
      <w:pPr>
        <w:pStyle w:val="Heading4"/>
      </w:pPr>
      <w:r>
        <w:t xml:space="preserve">Per section 3.2, </w:t>
      </w:r>
      <w:r w:rsidR="00FF65F3">
        <w:t xml:space="preserve">if Capability Assessment is needed, </w:t>
      </w:r>
      <w:r w:rsidR="005F1ADA" w:rsidRPr="00DA364D">
        <w:t>T</w:t>
      </w:r>
      <w:r w:rsidR="006810B9" w:rsidRPr="00DA364D">
        <w:t xml:space="preserve">riumph </w:t>
      </w:r>
      <w:r w:rsidR="0066672D">
        <w:t>OpCo</w:t>
      </w:r>
      <w:r w:rsidR="006810B9" w:rsidRPr="00DA364D">
        <w:t xml:space="preserve"> </w:t>
      </w:r>
      <w:r w:rsidR="008C4FB4" w:rsidRPr="00DA364D">
        <w:t>Procurement</w:t>
      </w:r>
      <w:r w:rsidR="00C57D14">
        <w:t>, Engineering, or Quality Assurance</w:t>
      </w:r>
      <w:r w:rsidR="008C4FB4" w:rsidRPr="00DA364D">
        <w:t xml:space="preserve"> shall:</w:t>
      </w:r>
    </w:p>
    <w:p w14:paraId="19AB21FF" w14:textId="5CAA7D22" w:rsidR="002C6E0B" w:rsidRDefault="2181F25C" w:rsidP="00C76AEC">
      <w:pPr>
        <w:pStyle w:val="Heading6"/>
        <w:rPr>
          <w:rFonts w:eastAsia="Tahoma"/>
        </w:rPr>
      </w:pPr>
      <w:r>
        <w:t>Forward a copy of Form SCMP 3.</w:t>
      </w:r>
      <w:r w:rsidR="42EA5940">
        <w:t>3</w:t>
      </w:r>
      <w:r>
        <w:t xml:space="preserve"> (a) - Notification of Supplier </w:t>
      </w:r>
      <w:r w:rsidR="4BD595E0">
        <w:t xml:space="preserve">Capability </w:t>
      </w:r>
      <w:r>
        <w:t>Assessment</w:t>
      </w:r>
      <w:r w:rsidR="189FC990">
        <w:t xml:space="preserve"> and Form SCMP 3.3 (b/</w:t>
      </w:r>
      <w:r w:rsidR="00DF4DBB">
        <w:t>d</w:t>
      </w:r>
      <w:r w:rsidR="189FC990">
        <w:t>) Supplier/Service Provider Capability Assessment</w:t>
      </w:r>
      <w:r>
        <w:t xml:space="preserve"> to the supplier.  </w:t>
      </w:r>
    </w:p>
    <w:p w14:paraId="5BB89244" w14:textId="7DA75899" w:rsidR="002C6E0B" w:rsidRPr="0007342A" w:rsidRDefault="5A35926B" w:rsidP="00C76AEC">
      <w:pPr>
        <w:pStyle w:val="Heading6"/>
      </w:pPr>
      <w:r>
        <w:t>Provide the prospective Supplier</w:t>
      </w:r>
      <w:r w:rsidR="2ED5D09C">
        <w:t>,</w:t>
      </w:r>
      <w:r>
        <w:t xml:space="preserve"> with a copy of the appropriate assessment tools</w:t>
      </w:r>
      <w:r w:rsidR="6439B8C2">
        <w:t>,</w:t>
      </w:r>
      <w:r>
        <w:t xml:space="preserve"> a minimum of 2 weeks prior to start of the assessment.</w:t>
      </w:r>
      <w:r w:rsidR="00AC35FF">
        <w:t xml:space="preserve"> </w:t>
      </w:r>
      <w:r w:rsidR="66C7C54C">
        <w:t>After</w:t>
      </w:r>
      <w:r w:rsidR="00AC35FF">
        <w:t xml:space="preserve"> </w:t>
      </w:r>
      <w:r w:rsidR="66C7C54C">
        <w:t>g</w:t>
      </w:r>
      <w:r w:rsidR="2181F25C">
        <w:t>iv</w:t>
      </w:r>
      <w:r w:rsidR="66C7C54C">
        <w:t>ing</w:t>
      </w:r>
      <w:r w:rsidR="2181F25C">
        <w:t xml:space="preserve"> adequate time for delivery of Form SCMP 3.</w:t>
      </w:r>
      <w:r w:rsidR="42EA5940">
        <w:t>3</w:t>
      </w:r>
      <w:r w:rsidR="2181F25C">
        <w:t xml:space="preserve"> (a</w:t>
      </w:r>
      <w:r w:rsidR="4F5E1B4B">
        <w:t xml:space="preserve"> and b/</w:t>
      </w:r>
      <w:r w:rsidR="00DF4DBB">
        <w:t>d</w:t>
      </w:r>
      <w:r w:rsidR="2181F25C">
        <w:t>), contact the prospective supplier and attain agreement to an assessment date</w:t>
      </w:r>
      <w:r w:rsidR="074D2573">
        <w:t>.</w:t>
      </w:r>
    </w:p>
    <w:p w14:paraId="4E1085FC" w14:textId="16499B3E" w:rsidR="00CC231D" w:rsidRDefault="3D689373" w:rsidP="00C76AEC">
      <w:pPr>
        <w:pStyle w:val="Heading5"/>
        <w:rPr>
          <w:rFonts w:eastAsia="Tahoma"/>
        </w:rPr>
      </w:pPr>
      <w:r>
        <w:t>Have Supplier complete and send their self-assessment prior to assessment date.</w:t>
      </w:r>
    </w:p>
    <w:p w14:paraId="7A267D88" w14:textId="64114185" w:rsidR="00CC231D" w:rsidRPr="00AC35FF" w:rsidRDefault="3D689373" w:rsidP="00C76AEC">
      <w:pPr>
        <w:pStyle w:val="Heading5"/>
      </w:pPr>
      <w:r w:rsidRPr="00AC35FF">
        <w:t>Review self-assessment</w:t>
      </w:r>
      <w:r w:rsidR="3EF116AF" w:rsidRPr="00AC35FF">
        <w:t xml:space="preserve"> for adequate evidence, </w:t>
      </w:r>
      <w:proofErr w:type="gramStart"/>
      <w:r w:rsidR="3EF116AF" w:rsidRPr="00AC35FF">
        <w:t>completion</w:t>
      </w:r>
      <w:proofErr w:type="gramEnd"/>
      <w:r w:rsidR="3EF116AF" w:rsidRPr="00AC35FF">
        <w:t xml:space="preserve"> and scoring.</w:t>
      </w:r>
      <w:r w:rsidRPr="00AC35FF">
        <w:t xml:space="preserve"> </w:t>
      </w:r>
    </w:p>
    <w:p w14:paraId="5BB89246" w14:textId="294EFB5B" w:rsidR="00EE0F82" w:rsidRDefault="00681274" w:rsidP="0066672D">
      <w:pPr>
        <w:pStyle w:val="Heading4"/>
      </w:pPr>
      <w:r>
        <w:t xml:space="preserve">The </w:t>
      </w:r>
      <w:r w:rsidR="00B94B5B">
        <w:t>S</w:t>
      </w:r>
      <w:r w:rsidR="00EE0F82" w:rsidRPr="0007342A">
        <w:t xml:space="preserve">upplier </w:t>
      </w:r>
      <w:r>
        <w:t>Capability A</w:t>
      </w:r>
      <w:r w:rsidR="00EE0F82" w:rsidRPr="0007342A">
        <w:t xml:space="preserve">ssessments will be conducted using </w:t>
      </w:r>
      <w:r w:rsidR="00A62E97">
        <w:t>a</w:t>
      </w:r>
      <w:r w:rsidR="00EE0F82" w:rsidRPr="0007342A">
        <w:t>ss</w:t>
      </w:r>
      <w:r w:rsidR="00EE0F82" w:rsidRPr="00681274">
        <w:t>essment Form SCMP 3.</w:t>
      </w:r>
      <w:r w:rsidR="001540C6">
        <w:t>3</w:t>
      </w:r>
      <w:r w:rsidR="001B0AC6" w:rsidRPr="00681274">
        <w:t xml:space="preserve"> (</w:t>
      </w:r>
      <w:r w:rsidRPr="00681274">
        <w:t>b</w:t>
      </w:r>
      <w:r w:rsidR="00EE0F82" w:rsidRPr="00681274">
        <w:t>)</w:t>
      </w:r>
      <w:r w:rsidR="00362292">
        <w:t xml:space="preserve"> or Form SCMP 3.3 (</w:t>
      </w:r>
      <w:r w:rsidR="00DF4DBB">
        <w:t>d</w:t>
      </w:r>
      <w:r w:rsidR="00362292">
        <w:t>) (for outside process/service suppliers only)</w:t>
      </w:r>
      <w:r w:rsidR="00215C5D" w:rsidRPr="00681274">
        <w:t xml:space="preserve"> </w:t>
      </w:r>
      <w:r w:rsidR="00EE0F82" w:rsidRPr="00681274">
        <w:t>and this procedure</w:t>
      </w:r>
    </w:p>
    <w:p w14:paraId="5BB89247" w14:textId="11C29222" w:rsidR="00BB1BEB" w:rsidRDefault="00EE0F82" w:rsidP="0066672D">
      <w:pPr>
        <w:pStyle w:val="Heading4"/>
      </w:pPr>
      <w:r w:rsidRPr="0007342A">
        <w:t>Th</w:t>
      </w:r>
      <w:r w:rsidR="00BB1BEB" w:rsidRPr="0007342A">
        <w:t>e</w:t>
      </w:r>
      <w:r w:rsidRPr="0007342A">
        <w:t xml:space="preserve"> </w:t>
      </w:r>
      <w:r w:rsidR="00B94B5B">
        <w:t>S</w:t>
      </w:r>
      <w:r w:rsidR="00B94B5B" w:rsidRPr="0007342A">
        <w:t xml:space="preserve">upplier </w:t>
      </w:r>
      <w:r w:rsidR="00B94B5B">
        <w:t>Capability A</w:t>
      </w:r>
      <w:r w:rsidR="00B94B5B" w:rsidRPr="0007342A">
        <w:t>ssessment</w:t>
      </w:r>
      <w:r w:rsidR="00B94B5B">
        <w:t xml:space="preserve"> </w:t>
      </w:r>
      <w:r w:rsidRPr="0007342A">
        <w:t xml:space="preserve">schedule </w:t>
      </w:r>
      <w:r w:rsidR="00BB1BEB" w:rsidRPr="0007342A">
        <w:t xml:space="preserve">shall </w:t>
      </w:r>
      <w:r w:rsidRPr="0007342A">
        <w:t>include sufficient time for an opening meeting, a review of the planned activities, as well as a closing meeting to review results and next steps</w:t>
      </w:r>
      <w:r w:rsidR="00B86801">
        <w:t>.</w:t>
      </w:r>
    </w:p>
    <w:p w14:paraId="5BB8924A" w14:textId="2AE08472" w:rsidR="00EE0F82" w:rsidRPr="00674B2C" w:rsidRDefault="0389DF96" w:rsidP="00C76AEC">
      <w:pPr>
        <w:pStyle w:val="Heading5"/>
      </w:pPr>
      <w:r>
        <w:t xml:space="preserve">The </w:t>
      </w:r>
      <w:r w:rsidR="7D80DD7C">
        <w:t>A</w:t>
      </w:r>
      <w:r>
        <w:t>ssessment shall be performed by a team comprised of</w:t>
      </w:r>
      <w:r w:rsidR="27AF83D0">
        <w:t xml:space="preserve"> Supplier’s</w:t>
      </w:r>
      <w:r>
        <w:t xml:space="preserve"> cross</w:t>
      </w:r>
      <w:r w:rsidR="00C76FB2">
        <w:t>-</w:t>
      </w:r>
      <w:r>
        <w:t>functional personnel such as Quality Assurance, Procurement, Manufacturing Engineering, Engineering, etc.  All team personnel shall have appropriate knowledge of the assessment criteria that falls within their area of expertise and job responsibilities.</w:t>
      </w:r>
      <w:r w:rsidR="78A63F2A">
        <w:t xml:space="preserve"> </w:t>
      </w:r>
    </w:p>
    <w:p w14:paraId="5EC535F2" w14:textId="76E5E09B" w:rsidR="00207DD2" w:rsidRDefault="00207DD2" w:rsidP="00D346C4">
      <w:pPr>
        <w:pStyle w:val="Heading2"/>
      </w:pPr>
      <w:r>
        <w:t>Supplier Capability Assessment Evaluation</w:t>
      </w:r>
    </w:p>
    <w:p w14:paraId="4EB360A0" w14:textId="6BE6835B" w:rsidR="00207DD2" w:rsidRDefault="00207DD2" w:rsidP="0066672D">
      <w:pPr>
        <w:pStyle w:val="Heading4"/>
      </w:pPr>
      <w:r>
        <w:t>The results of the Supplier Capability Assessment are automatically scored and plotted on the risk cubes in each Section of the Assessment as well as being plotted the risk on the Overall Assessment Risk Cube located on the scoring page.</w:t>
      </w:r>
    </w:p>
    <w:p w14:paraId="528EC08D" w14:textId="77777777" w:rsidR="00207DD2" w:rsidRDefault="00207DD2" w:rsidP="0066672D">
      <w:pPr>
        <w:pStyle w:val="Heading4"/>
      </w:pPr>
      <w:r>
        <w:t>Risk shall be evaluated based on:</w:t>
      </w:r>
    </w:p>
    <w:p w14:paraId="497DC6AD" w14:textId="77777777" w:rsidR="00207DD2" w:rsidRDefault="00207DD2" w:rsidP="00C76AEC">
      <w:pPr>
        <w:pStyle w:val="Heading5"/>
      </w:pPr>
      <w:r>
        <w:t xml:space="preserve">The Risk Scores of individual Sections </w:t>
      </w:r>
    </w:p>
    <w:p w14:paraId="793BB270" w14:textId="77777777" w:rsidR="00207DD2" w:rsidRDefault="00207DD2" w:rsidP="00C76AEC">
      <w:pPr>
        <w:pStyle w:val="Heading5"/>
      </w:pPr>
      <w:r>
        <w:t>The overall Assessment Risk Score</w:t>
      </w:r>
    </w:p>
    <w:p w14:paraId="0239597E" w14:textId="77777777" w:rsidR="00207DD2" w:rsidRDefault="00207DD2" w:rsidP="00C76AEC">
      <w:pPr>
        <w:pStyle w:val="Heading5"/>
      </w:pPr>
      <w:r>
        <w:t>The quantity and severity of High Scores for each Section and overall</w:t>
      </w:r>
    </w:p>
    <w:p w14:paraId="6D2AF257" w14:textId="77777777" w:rsidR="00207DD2" w:rsidRDefault="00207DD2" w:rsidP="00C76AEC">
      <w:pPr>
        <w:pStyle w:val="Heading6a"/>
      </w:pPr>
      <w:r>
        <w:t>HIGH RISK (</w:t>
      </w:r>
      <w:r w:rsidRPr="002F3709">
        <w:rPr>
          <w:b/>
          <w:color w:val="FF0000"/>
        </w:rPr>
        <w:t>Red</w:t>
      </w:r>
      <w:r>
        <w:t xml:space="preserve">) - Unacceptable. Major supply or quality disruptions likely.  Consideration of other suppliers may be in order. </w:t>
      </w:r>
      <w:r w:rsidRPr="00244F49">
        <w:rPr>
          <w:u w:val="single"/>
        </w:rPr>
        <w:t>It is the discretion of Triumph Business Unit Management to utilize such suppliers</w:t>
      </w:r>
      <w:r>
        <w:t>.</w:t>
      </w:r>
    </w:p>
    <w:p w14:paraId="239FDCF6" w14:textId="77777777" w:rsidR="00207DD2" w:rsidRDefault="00207DD2" w:rsidP="00C76AEC">
      <w:pPr>
        <w:pStyle w:val="Heading6a"/>
      </w:pPr>
      <w:r>
        <w:t>MEDIUM RISK (</w:t>
      </w:r>
      <w:r w:rsidRPr="002F3709">
        <w:rPr>
          <w:b/>
          <w:color w:val="FFC000"/>
        </w:rPr>
        <w:t>Yellow</w:t>
      </w:r>
      <w:r>
        <w:t>) - Some supply or quality disruptions may occur.   Additional management attention may be needed.</w:t>
      </w:r>
    </w:p>
    <w:p w14:paraId="46EC7C65" w14:textId="77777777" w:rsidR="00207DD2" w:rsidRDefault="00207DD2" w:rsidP="00C76AEC">
      <w:pPr>
        <w:pStyle w:val="Heading6a"/>
      </w:pPr>
      <w:r>
        <w:t>LOW RISK (</w:t>
      </w:r>
      <w:r w:rsidRPr="002F3709">
        <w:rPr>
          <w:b/>
          <w:color w:val="238002"/>
        </w:rPr>
        <w:t>Green</w:t>
      </w:r>
      <w:r>
        <w:t>) - Minimum impact to supply or quality. Minimum oversight needed to ensure risk remains low.</w:t>
      </w:r>
    </w:p>
    <w:p w14:paraId="796CFCEA" w14:textId="4455DC5D" w:rsidR="00207DD2" w:rsidRDefault="00207DD2" w:rsidP="0066672D">
      <w:pPr>
        <w:pStyle w:val="Heading4"/>
        <w:rPr>
          <w:rFonts w:eastAsia="Tahoma"/>
        </w:rPr>
      </w:pPr>
      <w:r>
        <w:t xml:space="preserve">At the end of the Capability Assessment, the </w:t>
      </w:r>
      <w:r w:rsidR="00B85930">
        <w:t>a</w:t>
      </w:r>
      <w:r>
        <w:t xml:space="preserve">ssessor shall review the results of the Supplier Capability Assessment, </w:t>
      </w:r>
      <w:proofErr w:type="gramStart"/>
      <w:r w:rsidR="00B85930">
        <w:t>prepare</w:t>
      </w:r>
      <w:proofErr w:type="gramEnd"/>
      <w:r w:rsidR="00B85930">
        <w:t xml:space="preserve"> and submit Summary and final copy of Audited Assessment inclusive of concerns and recommendations and RAIL to supplier and respective Sites and Associated Functions.</w:t>
      </w:r>
    </w:p>
    <w:p w14:paraId="166C8680" w14:textId="333F5551" w:rsidR="00CA5B1C" w:rsidRPr="00CA5B1C" w:rsidRDefault="076C869B" w:rsidP="00C76AEC">
      <w:pPr>
        <w:pStyle w:val="Heading5"/>
      </w:pPr>
      <w:r>
        <w:t>Each identified Risk or opportunity</w:t>
      </w:r>
      <w:r w:rsidR="00927A53">
        <w:t xml:space="preserve"> may</w:t>
      </w:r>
      <w:r>
        <w:t xml:space="preserve"> to be captured on a RAIL (Running Action Item List). Open action items are then reviewed on a regular basis until all items are closed or mitigated</w:t>
      </w:r>
      <w:r w:rsidR="21EEC63D">
        <w:t>.</w:t>
      </w:r>
    </w:p>
    <w:p w14:paraId="1CE63129" w14:textId="7A8A992C" w:rsidR="7E717377" w:rsidRPr="00696C0B" w:rsidRDefault="00CA5B1C" w:rsidP="00C76AEC">
      <w:pPr>
        <w:pStyle w:val="Heading5"/>
        <w:rPr>
          <w:rFonts w:eastAsia="Tahoma"/>
          <w:color w:val="000000" w:themeColor="text1"/>
        </w:rPr>
      </w:pPr>
      <w:r>
        <w:t>A</w:t>
      </w:r>
      <w:r w:rsidR="21EEC63D">
        <w:t xml:space="preserve">ll completed Assessments and Summaries </w:t>
      </w:r>
      <w:r w:rsidR="00927A53">
        <w:t xml:space="preserve">shall </w:t>
      </w:r>
      <w:r w:rsidR="21EEC63D">
        <w:t xml:space="preserve">be loaded into the Supplier’s Profile in the Supplier Portal according to </w:t>
      </w:r>
      <w:r w:rsidR="49B14EB5">
        <w:t>TSCMT 3.9 Add New Appraisal to Profile</w:t>
      </w:r>
      <w:r w:rsidR="21EEC63D">
        <w:t>. Assessment</w:t>
      </w:r>
      <w:r w:rsidR="6B0A6A20">
        <w:t>s, Summaries, and all supporting documents will be loaded into a relative folder in</w:t>
      </w:r>
      <w:r w:rsidR="00927A53">
        <w:t xml:space="preserve"> the Supplier Development page-Supplier Assessments in</w:t>
      </w:r>
      <w:r w:rsidR="6B0A6A20">
        <w:t xml:space="preserve"> </w:t>
      </w:r>
      <w:hyperlink r:id="rId15" w:history="1">
        <w:r w:rsidR="6B0A6A20" w:rsidRPr="002F4616">
          <w:t>Sharepoint</w:t>
        </w:r>
      </w:hyperlink>
      <w:r w:rsidR="6B0A6A20">
        <w:t xml:space="preserve">. </w:t>
      </w:r>
      <w:r w:rsidR="0D70FB69">
        <w:t xml:space="preserve">Supplier self-assessments are to be named </w:t>
      </w:r>
      <w:r w:rsidR="0D70FB69" w:rsidRPr="002F4616">
        <w:t xml:space="preserve">“SCMP 3.3 (b or </w:t>
      </w:r>
      <w:r w:rsidR="00DF4DBB">
        <w:t>d</w:t>
      </w:r>
      <w:r w:rsidR="0D70FB69" w:rsidRPr="002F4616">
        <w:t>) Supplier Assessment Supplier Name_Self_DATE.xls”</w:t>
      </w:r>
      <w:r w:rsidR="005125CF">
        <w:t>.</w:t>
      </w:r>
      <w:r w:rsidR="0D70FB69" w:rsidRPr="002F4616">
        <w:t xml:space="preserve"> After the Assessment is Audited, it is to be named “SCMP 3.3 (b or </w:t>
      </w:r>
      <w:r w:rsidR="00DF4DBB">
        <w:t>d</w:t>
      </w:r>
      <w:r w:rsidR="0D70FB69" w:rsidRPr="002F4616">
        <w:t>) Supplier Assessment Supplier Name_</w:t>
      </w:r>
      <w:r w:rsidR="4FEEFAF9" w:rsidRPr="002F4616">
        <w:t>Audit</w:t>
      </w:r>
      <w:r w:rsidR="0D70FB69" w:rsidRPr="002F4616">
        <w:t>_DATE.xls”</w:t>
      </w:r>
    </w:p>
    <w:p w14:paraId="5BB89255" w14:textId="77777777" w:rsidR="002E11D6" w:rsidRPr="0007342A" w:rsidRDefault="001E1420" w:rsidP="00D346C4">
      <w:pPr>
        <w:pStyle w:val="Heading2"/>
      </w:pPr>
      <w:r>
        <w:t>Inter</w:t>
      </w:r>
      <w:r w:rsidR="002E11D6" w:rsidRPr="0007342A">
        <w:t>-</w:t>
      </w:r>
      <w:r w:rsidR="008E634F">
        <w:t>Business Unit</w:t>
      </w:r>
      <w:r w:rsidR="002E11D6" w:rsidRPr="0007342A">
        <w:t xml:space="preserve"> Recognition</w:t>
      </w:r>
    </w:p>
    <w:p w14:paraId="5BB89256" w14:textId="72D0B278" w:rsidR="002E11D6" w:rsidRPr="0007342A" w:rsidRDefault="35666011" w:rsidP="0066672D">
      <w:pPr>
        <w:pStyle w:val="Heading4"/>
      </w:pPr>
      <w:r>
        <w:t>T</w:t>
      </w:r>
      <w:r w:rsidR="22A4F2AD">
        <w:t xml:space="preserve">riumph </w:t>
      </w:r>
      <w:r w:rsidR="0066672D">
        <w:t>OpCo’s</w:t>
      </w:r>
      <w:r w:rsidR="00C76AEC">
        <w:t xml:space="preserve"> </w:t>
      </w:r>
      <w:r w:rsidR="3B4C88D1">
        <w:t>may</w:t>
      </w:r>
      <w:r w:rsidR="4C7C91A5">
        <w:t xml:space="preserve"> recognize </w:t>
      </w:r>
      <w:r w:rsidR="7DA499EA">
        <w:t xml:space="preserve">the </w:t>
      </w:r>
      <w:r w:rsidR="3B4C88D1">
        <w:t xml:space="preserve">Capability Assessment </w:t>
      </w:r>
      <w:r w:rsidR="7DA499EA">
        <w:t>performed</w:t>
      </w:r>
      <w:r w:rsidR="0AFEBDAB">
        <w:t xml:space="preserve"> by </w:t>
      </w:r>
      <w:r w:rsidR="7DA499EA">
        <w:t>an</w:t>
      </w:r>
      <w:r w:rsidR="0AFEBDAB">
        <w:t xml:space="preserve">other </w:t>
      </w:r>
      <w:r w:rsidR="22A4F2AD">
        <w:t xml:space="preserve">Triumph </w:t>
      </w:r>
      <w:r w:rsidR="0066672D">
        <w:t>OpCo’s</w:t>
      </w:r>
      <w:r w:rsidR="00C76AEC">
        <w:t xml:space="preserve"> </w:t>
      </w:r>
      <w:r w:rsidR="3B4C88D1">
        <w:t>depending upon common nature of the work scope and processes involved</w:t>
      </w:r>
    </w:p>
    <w:p w14:paraId="5BB89257" w14:textId="5CFF5D18" w:rsidR="002E11D6" w:rsidRPr="0007342A" w:rsidRDefault="008E634F" w:rsidP="0066672D">
      <w:pPr>
        <w:pStyle w:val="Heading4"/>
      </w:pPr>
      <w:r w:rsidRPr="0007342A">
        <w:t>T</w:t>
      </w:r>
      <w:r>
        <w:t xml:space="preserve">riumph </w:t>
      </w:r>
      <w:r w:rsidR="0066672D">
        <w:t>OpCo’</w:t>
      </w:r>
      <w:r w:rsidR="005125CF">
        <w:t>s</w:t>
      </w:r>
      <w:r w:rsidR="001E1420">
        <w:t xml:space="preserve"> </w:t>
      </w:r>
      <w:r w:rsidR="002E11D6" w:rsidRPr="0007342A">
        <w:t xml:space="preserve">recognizing and utilizing </w:t>
      </w:r>
      <w:r w:rsidR="001E1420">
        <w:t xml:space="preserve">the </w:t>
      </w:r>
      <w:r w:rsidR="00681274">
        <w:t>Capability</w:t>
      </w:r>
      <w:r w:rsidR="0048612C">
        <w:t xml:space="preserve"> </w:t>
      </w:r>
      <w:r w:rsidR="00681274">
        <w:t>A</w:t>
      </w:r>
      <w:r w:rsidR="00681274" w:rsidRPr="0007342A">
        <w:t xml:space="preserve">ssessment </w:t>
      </w:r>
      <w:r w:rsidR="002E11D6" w:rsidRPr="0007342A">
        <w:t>shall:</w:t>
      </w:r>
    </w:p>
    <w:p w14:paraId="5BB89258" w14:textId="5B5BE54B" w:rsidR="002E11D6" w:rsidRPr="0007342A" w:rsidRDefault="002E11D6" w:rsidP="00C76AEC">
      <w:pPr>
        <w:pStyle w:val="Heading6"/>
      </w:pPr>
      <w:r w:rsidRPr="0007342A">
        <w:t xml:space="preserve">Not be required to perform </w:t>
      </w:r>
      <w:r w:rsidR="001E1420">
        <w:t xml:space="preserve">an </w:t>
      </w:r>
      <w:r w:rsidRPr="0007342A">
        <w:t xml:space="preserve">additional </w:t>
      </w:r>
      <w:r w:rsidR="00CB5C5D">
        <w:t>s</w:t>
      </w:r>
      <w:r w:rsidR="00FA55D6" w:rsidRPr="0007342A">
        <w:t>upplier</w:t>
      </w:r>
      <w:r w:rsidR="00CB5C5D">
        <w:t xml:space="preserve"> </w:t>
      </w:r>
      <w:r w:rsidR="00681274">
        <w:t>Capability A</w:t>
      </w:r>
      <w:r w:rsidR="00681274" w:rsidRPr="0007342A">
        <w:t>ssessment</w:t>
      </w:r>
      <w:r w:rsidR="00681274">
        <w:t xml:space="preserve"> </w:t>
      </w:r>
      <w:r w:rsidR="00FA55D6" w:rsidRPr="0007342A">
        <w:t xml:space="preserve"> </w:t>
      </w:r>
    </w:p>
    <w:p w14:paraId="5BB89259" w14:textId="6E423583" w:rsidR="00FA55D6" w:rsidRDefault="0AFEBDAB" w:rsidP="00C76AEC">
      <w:pPr>
        <w:pStyle w:val="Heading6"/>
      </w:pPr>
      <w:r>
        <w:t xml:space="preserve">This requirement is in effect when </w:t>
      </w:r>
      <w:r w:rsidR="73CCD6CD">
        <w:t>Form 3.3 (b</w:t>
      </w:r>
      <w:r w:rsidR="0CE2E763">
        <w:t xml:space="preserve"> or </w:t>
      </w:r>
      <w:r w:rsidR="00DF4DBB">
        <w:t>d</w:t>
      </w:r>
      <w:r w:rsidR="73CCD6CD">
        <w:t>) has been utilized in performing the capability assessment.</w:t>
      </w:r>
    </w:p>
    <w:p w14:paraId="7F84EB66" w14:textId="29479753" w:rsidR="00696C0B" w:rsidRDefault="2A09FB5D" w:rsidP="00C76AEC">
      <w:pPr>
        <w:pStyle w:val="Heading5"/>
      </w:pPr>
      <w:r>
        <w:t>Per SCMP 9.1-Supplier Development, TGI sites, using Supplier being assessed, will be contacted so all issues and opportunities are included during the Assessment proces</w:t>
      </w:r>
      <w:r w:rsidR="00696C0B">
        <w:t>s</w:t>
      </w:r>
    </w:p>
    <w:p w14:paraId="2BBE85DD" w14:textId="77777777" w:rsidR="00696C0B" w:rsidRPr="00696C0B" w:rsidRDefault="00753460" w:rsidP="00F91F91">
      <w:pPr>
        <w:pStyle w:val="Heading1"/>
      </w:pPr>
      <w:r w:rsidRPr="0007342A">
        <w:t>Appendices and/or Flowcharts</w:t>
      </w:r>
    </w:p>
    <w:p w14:paraId="5BB8925B" w14:textId="1DE9C1DA" w:rsidR="00CB2FD2" w:rsidRPr="00696C0B" w:rsidRDefault="00323B7F" w:rsidP="00D346C4">
      <w:pPr>
        <w:pStyle w:val="Heading2"/>
      </w:pPr>
      <w:r w:rsidRPr="00696C0B">
        <w:t>None</w:t>
      </w:r>
    </w:p>
    <w:p w14:paraId="5BB8925C" w14:textId="77777777" w:rsidR="00131CE6" w:rsidRPr="0007342A" w:rsidRDefault="00753460" w:rsidP="00F91F91">
      <w:pPr>
        <w:pStyle w:val="Heading1"/>
      </w:pPr>
      <w:r w:rsidRPr="0007342A">
        <w:t xml:space="preserve">Required </w:t>
      </w:r>
      <w:r w:rsidR="00BF6A2D" w:rsidRPr="0007342A">
        <w:t>Forms</w:t>
      </w:r>
    </w:p>
    <w:p w14:paraId="5BB8925D" w14:textId="18B8A3C8" w:rsidR="00131CE6" w:rsidRPr="006F1B4D" w:rsidRDefault="001E1420" w:rsidP="00D346C4">
      <w:pPr>
        <w:pStyle w:val="Heading2"/>
      </w:pPr>
      <w:r>
        <w:t>Form SCMP 3.3</w:t>
      </w:r>
      <w:r w:rsidR="00131CE6" w:rsidRPr="006F1B4D">
        <w:t xml:space="preserve"> (</w:t>
      </w:r>
      <w:r w:rsidR="002C6E0B">
        <w:t>a</w:t>
      </w:r>
      <w:r w:rsidR="00131CE6" w:rsidRPr="006F1B4D">
        <w:t xml:space="preserve">) </w:t>
      </w:r>
      <w:r w:rsidR="00127089">
        <w:t>Notification of</w:t>
      </w:r>
      <w:r w:rsidR="00131CE6" w:rsidRPr="006F1B4D">
        <w:t xml:space="preserve"> On</w:t>
      </w:r>
      <w:r w:rsidR="00E9471F">
        <w:t>-</w:t>
      </w:r>
      <w:r w:rsidR="00131CE6" w:rsidRPr="006F1B4D">
        <w:t xml:space="preserve">Site </w:t>
      </w:r>
      <w:r w:rsidR="00497B9C">
        <w:t xml:space="preserve">Supplier Capability </w:t>
      </w:r>
      <w:r w:rsidR="00131CE6" w:rsidRPr="006F1B4D">
        <w:t>Assessment</w:t>
      </w:r>
    </w:p>
    <w:p w14:paraId="5BB8925E" w14:textId="47486E1F" w:rsidR="00131CE6" w:rsidRPr="006F1B4D" w:rsidRDefault="7DA499EA" w:rsidP="00D346C4">
      <w:pPr>
        <w:pStyle w:val="Heading2"/>
      </w:pPr>
      <w:r w:rsidRPr="189BA1DB">
        <w:t>Form SCMP 3.3</w:t>
      </w:r>
      <w:r w:rsidR="0AE50505" w:rsidRPr="189BA1DB">
        <w:t xml:space="preserve"> (</w:t>
      </w:r>
      <w:r w:rsidR="2181F25C" w:rsidRPr="189BA1DB">
        <w:t>b</w:t>
      </w:r>
      <w:r w:rsidR="3ABE2AC3" w:rsidRPr="189BA1DB">
        <w:t>/</w:t>
      </w:r>
      <w:r w:rsidR="00DF4DBB">
        <w:t>d</w:t>
      </w:r>
      <w:r w:rsidR="0AE50505" w:rsidRPr="189BA1DB">
        <w:t xml:space="preserve">) </w:t>
      </w:r>
      <w:r w:rsidR="225E8346" w:rsidRPr="189BA1DB">
        <w:t>Supplier</w:t>
      </w:r>
      <w:r w:rsidR="19179BE4" w:rsidRPr="189BA1DB">
        <w:t>/Service Provider</w:t>
      </w:r>
      <w:r w:rsidR="225E8346" w:rsidRPr="189BA1DB">
        <w:t xml:space="preserve"> Capability Assessment</w:t>
      </w:r>
      <w:r w:rsidR="0048612C" w:rsidRPr="189BA1DB">
        <w:t xml:space="preserve"> Tool</w:t>
      </w:r>
    </w:p>
    <w:p w14:paraId="5BB8925F" w14:textId="77777777" w:rsidR="00E364B1" w:rsidRPr="006F1B4D" w:rsidRDefault="00FD17FE" w:rsidP="00F91F91">
      <w:pPr>
        <w:pStyle w:val="Heading1"/>
      </w:pPr>
      <w:r w:rsidRPr="006F1B4D">
        <w:t>Required Records</w:t>
      </w:r>
    </w:p>
    <w:p w14:paraId="5BB89260" w14:textId="0ED29BAB" w:rsidR="00215C5D" w:rsidRDefault="7DA499EA" w:rsidP="00D346C4">
      <w:pPr>
        <w:pStyle w:val="Heading2"/>
      </w:pPr>
      <w:r w:rsidRPr="189BA1DB">
        <w:t>Form SCMP 3.3</w:t>
      </w:r>
      <w:r w:rsidR="5A362B1A" w:rsidRPr="189BA1DB">
        <w:t xml:space="preserve"> (</w:t>
      </w:r>
      <w:r w:rsidR="225E8346" w:rsidRPr="189BA1DB">
        <w:t>b</w:t>
      </w:r>
      <w:r w:rsidR="4E55F323" w:rsidRPr="189BA1DB">
        <w:t>/</w:t>
      </w:r>
      <w:r w:rsidR="00DF4DBB">
        <w:t>d</w:t>
      </w:r>
      <w:r w:rsidR="5A362B1A" w:rsidRPr="189BA1DB">
        <w:t xml:space="preserve">) – </w:t>
      </w:r>
      <w:r w:rsidR="4F42B502" w:rsidRPr="189BA1DB">
        <w:t>Supplier</w:t>
      </w:r>
      <w:r w:rsidR="59DE59BD" w:rsidRPr="189BA1DB">
        <w:t>/Service Provider</w:t>
      </w:r>
      <w:r w:rsidR="4F42B502" w:rsidRPr="189BA1DB">
        <w:t xml:space="preserve"> Capability Assessment</w:t>
      </w:r>
      <w:r w:rsidR="0048612C" w:rsidRPr="189BA1DB">
        <w:t xml:space="preserve"> Tool</w:t>
      </w:r>
    </w:p>
    <w:p w14:paraId="5BB89261" w14:textId="77777777" w:rsidR="00327B26" w:rsidRDefault="00327B26" w:rsidP="00F91F91">
      <w:pPr>
        <w:pStyle w:val="Heading1"/>
      </w:pPr>
      <w:r>
        <w:t>Training Materials</w:t>
      </w:r>
    </w:p>
    <w:p w14:paraId="5BB89262" w14:textId="2CD9BDDA" w:rsidR="00327B26" w:rsidRPr="002A6645" w:rsidRDefault="002A6645" w:rsidP="00D346C4">
      <w:pPr>
        <w:pStyle w:val="Heading2"/>
        <w:rPr>
          <w:rStyle w:val="Hyperlink"/>
        </w:rPr>
      </w:pPr>
      <w:r>
        <w:fldChar w:fldCharType="begin"/>
      </w:r>
      <w:r>
        <w:instrText xml:space="preserve"> HYPERLINK "https://tgiservices.sharepoint.com/corpgroup/corpsupplychain/Public%20Documents/Supplier%20Development%20Documents/Training%20and%20Skills%20Matrix/Training%20Documentation" </w:instrText>
      </w:r>
      <w:r>
        <w:fldChar w:fldCharType="separate"/>
      </w:r>
      <w:r w:rsidRPr="002A6645">
        <w:rPr>
          <w:rStyle w:val="Hyperlink"/>
        </w:rPr>
        <w:t>SCMP 3.3 Training</w:t>
      </w:r>
    </w:p>
    <w:p w14:paraId="5BB89263" w14:textId="37F8B9FE" w:rsidR="00625060" w:rsidRDefault="002A6645" w:rsidP="00F91F91">
      <w:pPr>
        <w:pStyle w:val="Heading1"/>
      </w:pPr>
      <w:r>
        <w:rPr>
          <w:rFonts w:cs="Arial"/>
          <w:color w:val="auto"/>
        </w:rPr>
        <w:fldChar w:fldCharType="end"/>
      </w:r>
      <w:r w:rsidR="00625060" w:rsidRPr="0007342A">
        <w:t>Revision History</w:t>
      </w:r>
    </w:p>
    <w:tbl>
      <w:tblPr>
        <w:tblW w:w="0" w:type="auto"/>
        <w:tblInd w:w="288" w:type="dxa"/>
        <w:tblLook w:val="04A0" w:firstRow="1" w:lastRow="0" w:firstColumn="1" w:lastColumn="0" w:noHBand="0" w:noVBand="1"/>
      </w:tblPr>
      <w:tblGrid>
        <w:gridCol w:w="1422"/>
        <w:gridCol w:w="6488"/>
        <w:gridCol w:w="2141"/>
      </w:tblGrid>
      <w:tr w:rsidR="0048612C" w:rsidRPr="001E06F8" w14:paraId="5BB89267" w14:textId="77777777" w:rsidTr="002A6645">
        <w:tc>
          <w:tcPr>
            <w:tcW w:w="1422" w:type="dxa"/>
          </w:tcPr>
          <w:p w14:paraId="5BB89264" w14:textId="77777777" w:rsidR="0048612C" w:rsidRPr="001E06F8" w:rsidRDefault="0048612C" w:rsidP="00D6660E">
            <w:pPr>
              <w:pStyle w:val="PlainIndent"/>
              <w:ind w:left="252"/>
              <w:rPr>
                <w:b/>
              </w:rPr>
            </w:pPr>
            <w:r w:rsidRPr="001E06F8">
              <w:rPr>
                <w:b/>
              </w:rPr>
              <w:t>Revision Level</w:t>
            </w:r>
          </w:p>
        </w:tc>
        <w:tc>
          <w:tcPr>
            <w:tcW w:w="6488" w:type="dxa"/>
          </w:tcPr>
          <w:p w14:paraId="5BB89265" w14:textId="77777777" w:rsidR="0048612C" w:rsidRPr="001E06F8" w:rsidRDefault="0048612C" w:rsidP="002F4616">
            <w:pPr>
              <w:pStyle w:val="PlainIndent"/>
              <w:rPr>
                <w:b/>
              </w:rPr>
            </w:pPr>
            <w:r w:rsidRPr="001E06F8">
              <w:rPr>
                <w:b/>
              </w:rPr>
              <w:t>Description of Change</w:t>
            </w:r>
          </w:p>
        </w:tc>
        <w:tc>
          <w:tcPr>
            <w:tcW w:w="2141" w:type="dxa"/>
          </w:tcPr>
          <w:p w14:paraId="5BB89266" w14:textId="77777777" w:rsidR="0048612C" w:rsidRPr="001E06F8" w:rsidRDefault="0048612C" w:rsidP="00D6660E">
            <w:pPr>
              <w:pStyle w:val="PlainIndent"/>
              <w:ind w:left="72"/>
              <w:rPr>
                <w:b/>
              </w:rPr>
            </w:pPr>
            <w:r w:rsidRPr="001E06F8">
              <w:rPr>
                <w:b/>
              </w:rPr>
              <w:t>Effective Date</w:t>
            </w:r>
          </w:p>
        </w:tc>
      </w:tr>
      <w:tr w:rsidR="0048612C" w:rsidRPr="00D9205D" w14:paraId="5BB8926B" w14:textId="77777777" w:rsidTr="002A6645">
        <w:tc>
          <w:tcPr>
            <w:tcW w:w="1422" w:type="dxa"/>
          </w:tcPr>
          <w:p w14:paraId="5BB89268" w14:textId="77777777" w:rsidR="0048612C" w:rsidRPr="00D9205D" w:rsidRDefault="0048612C" w:rsidP="00D6660E">
            <w:pPr>
              <w:pStyle w:val="PlainIndent"/>
              <w:ind w:left="252"/>
            </w:pPr>
            <w:r>
              <w:t>Original</w:t>
            </w:r>
          </w:p>
        </w:tc>
        <w:tc>
          <w:tcPr>
            <w:tcW w:w="6488" w:type="dxa"/>
          </w:tcPr>
          <w:p w14:paraId="5BB89269" w14:textId="77777777" w:rsidR="0048612C" w:rsidRPr="00D9205D" w:rsidRDefault="0048612C" w:rsidP="00696C0B">
            <w:pPr>
              <w:pStyle w:val="PlainIndent"/>
              <w:ind w:left="70"/>
            </w:pPr>
            <w:r>
              <w:t>New Document</w:t>
            </w:r>
          </w:p>
        </w:tc>
        <w:tc>
          <w:tcPr>
            <w:tcW w:w="2141" w:type="dxa"/>
          </w:tcPr>
          <w:p w14:paraId="5BB8926A" w14:textId="77777777" w:rsidR="0048612C" w:rsidRPr="00D9205D" w:rsidRDefault="00327B26" w:rsidP="00D6660E">
            <w:pPr>
              <w:pStyle w:val="PlainIndent"/>
              <w:ind w:left="72"/>
            </w:pPr>
            <w:r>
              <w:t>01 April 2014</w:t>
            </w:r>
          </w:p>
        </w:tc>
      </w:tr>
      <w:tr w:rsidR="00B86801" w:rsidRPr="00D9205D" w14:paraId="3B4E17BD" w14:textId="77777777" w:rsidTr="002A6645">
        <w:trPr>
          <w:trHeight w:val="432"/>
        </w:trPr>
        <w:tc>
          <w:tcPr>
            <w:tcW w:w="1422" w:type="dxa"/>
          </w:tcPr>
          <w:p w14:paraId="610BD6D7" w14:textId="11EE2A7D" w:rsidR="00B86801" w:rsidRDefault="00B86801" w:rsidP="00D6660E">
            <w:pPr>
              <w:pStyle w:val="PlainIndent"/>
              <w:ind w:left="252"/>
            </w:pPr>
            <w:r>
              <w:t>A</w:t>
            </w:r>
          </w:p>
        </w:tc>
        <w:tc>
          <w:tcPr>
            <w:tcW w:w="6488" w:type="dxa"/>
          </w:tcPr>
          <w:p w14:paraId="1E3DE5FA" w14:textId="2C9B3F61" w:rsidR="00636A3E" w:rsidRDefault="00B86801" w:rsidP="00696C0B">
            <w:pPr>
              <w:pStyle w:val="PlainIndent"/>
              <w:ind w:left="70"/>
            </w:pPr>
            <w:r>
              <w:t>Revised 7.2.4, deleted 7.2.4.1 and 7.2.4.3; revised 7.2.4.3.</w:t>
            </w:r>
          </w:p>
        </w:tc>
        <w:tc>
          <w:tcPr>
            <w:tcW w:w="2141" w:type="dxa"/>
          </w:tcPr>
          <w:p w14:paraId="47AC6290" w14:textId="5F81F9D9" w:rsidR="00B86801" w:rsidRDefault="00B86801" w:rsidP="00D6660E">
            <w:pPr>
              <w:pStyle w:val="PlainIndent"/>
              <w:ind w:left="72"/>
            </w:pPr>
            <w:r>
              <w:t>15 January 2018</w:t>
            </w:r>
          </w:p>
        </w:tc>
      </w:tr>
      <w:tr w:rsidR="00636A3E" w:rsidRPr="00D9205D" w14:paraId="588602FB" w14:textId="77777777" w:rsidTr="00AB18B7">
        <w:tc>
          <w:tcPr>
            <w:tcW w:w="1422" w:type="dxa"/>
          </w:tcPr>
          <w:p w14:paraId="474F8423" w14:textId="282D3A9D" w:rsidR="00636A3E" w:rsidRDefault="00636A3E" w:rsidP="00D6660E">
            <w:pPr>
              <w:pStyle w:val="PlainIndent"/>
              <w:ind w:left="252"/>
            </w:pPr>
            <w:r>
              <w:t>B</w:t>
            </w:r>
          </w:p>
        </w:tc>
        <w:tc>
          <w:tcPr>
            <w:tcW w:w="6488" w:type="dxa"/>
          </w:tcPr>
          <w:p w14:paraId="508D1877" w14:textId="3F7E46FD" w:rsidR="00636A3E" w:rsidRDefault="435FF925" w:rsidP="00696C0B">
            <w:pPr>
              <w:pStyle w:val="PlainIndent"/>
              <w:ind w:left="70"/>
            </w:pPr>
            <w:r>
              <w:t xml:space="preserve">Removed “Risk” from Description, added language for virtual Assessments, </w:t>
            </w:r>
            <w:r w:rsidR="00ED0891">
              <w:t>removed</w:t>
            </w:r>
            <w:r>
              <w:t xml:space="preserve"> intervals in 3.3.5</w:t>
            </w:r>
            <w:r w:rsidR="00ED0891">
              <w:t xml:space="preserve"> as interval will depend on BU direction</w:t>
            </w:r>
            <w:r>
              <w:t>, added reference documents</w:t>
            </w:r>
            <w:r w:rsidR="00ED0891">
              <w:t xml:space="preserve">; </w:t>
            </w:r>
            <w:r>
              <w:t>SCMP 9.1 and the Forms for 3.3 (a, b &amp; c)</w:t>
            </w:r>
            <w:r w:rsidR="00ED0891">
              <w:t xml:space="preserve"> and definitions 5.4-5.7, </w:t>
            </w:r>
            <w:r>
              <w:t>removed “Lead” from 5.2, removed pdf from 7.1.3, added Supplier Self-assessment step to 7.2.2.2, added allowance SCMP 3.3 c for Service Providers,</w:t>
            </w:r>
            <w:r w:rsidR="001418E9">
              <w:t xml:space="preserve"> revised 7.3.3, 7.3.4 and 7.3.5 sequence and added requirement for Summary</w:t>
            </w:r>
            <w:r w:rsidR="41C455D5">
              <w:t>,</w:t>
            </w:r>
            <w:r w:rsidR="001418E9">
              <w:t xml:space="preserve"> RAIL</w:t>
            </w:r>
            <w:r w:rsidR="00ED0891">
              <w:t>, naming convention</w:t>
            </w:r>
            <w:r w:rsidR="3E699B68">
              <w:t xml:space="preserve"> and Document storage.</w:t>
            </w:r>
            <w:r w:rsidR="002A6645">
              <w:t xml:space="preserve"> Added link for training.</w:t>
            </w:r>
          </w:p>
        </w:tc>
        <w:tc>
          <w:tcPr>
            <w:tcW w:w="2141" w:type="dxa"/>
          </w:tcPr>
          <w:p w14:paraId="4FF080B2" w14:textId="3594B22C" w:rsidR="00636A3E" w:rsidRDefault="001418E9" w:rsidP="00D6660E">
            <w:pPr>
              <w:pStyle w:val="PlainIndent"/>
              <w:ind w:left="72"/>
            </w:pPr>
            <w:r>
              <w:t>01 December 2020</w:t>
            </w:r>
          </w:p>
        </w:tc>
      </w:tr>
      <w:tr w:rsidR="00DC61DD" w:rsidRPr="00D9205D" w14:paraId="7D080F3A" w14:textId="77777777" w:rsidTr="00C76AEC">
        <w:tc>
          <w:tcPr>
            <w:tcW w:w="1422" w:type="dxa"/>
          </w:tcPr>
          <w:p w14:paraId="4EB69958" w14:textId="393D2386" w:rsidR="00DC61DD" w:rsidRDefault="00DC61DD" w:rsidP="00D6660E">
            <w:pPr>
              <w:pStyle w:val="PlainIndent"/>
              <w:ind w:left="252"/>
            </w:pPr>
            <w:r>
              <w:t>C</w:t>
            </w:r>
          </w:p>
        </w:tc>
        <w:tc>
          <w:tcPr>
            <w:tcW w:w="6488" w:type="dxa"/>
          </w:tcPr>
          <w:p w14:paraId="4E25A0FB" w14:textId="79E5ED0E" w:rsidR="00DC61DD" w:rsidRDefault="00DC61DD" w:rsidP="00696C0B">
            <w:pPr>
              <w:pStyle w:val="PlainIndent"/>
              <w:ind w:left="70"/>
            </w:pPr>
            <w:r>
              <w:t>Updated non applicability to raw material supplier</w:t>
            </w:r>
          </w:p>
        </w:tc>
        <w:tc>
          <w:tcPr>
            <w:tcW w:w="2141" w:type="dxa"/>
          </w:tcPr>
          <w:p w14:paraId="149D9920" w14:textId="7DB49348" w:rsidR="00DC61DD" w:rsidRDefault="00DC61DD" w:rsidP="00D6660E">
            <w:pPr>
              <w:pStyle w:val="PlainIndent"/>
              <w:ind w:left="72"/>
            </w:pPr>
            <w:r>
              <w:t>11 January 2022</w:t>
            </w:r>
          </w:p>
        </w:tc>
      </w:tr>
      <w:tr w:rsidR="009C4105" w:rsidRPr="00D9205D" w14:paraId="2E66F6CB" w14:textId="77777777" w:rsidTr="002A6645">
        <w:tc>
          <w:tcPr>
            <w:tcW w:w="1422" w:type="dxa"/>
            <w:tcBorders>
              <w:bottom w:val="single" w:sz="4" w:space="0" w:color="auto"/>
            </w:tcBorders>
          </w:tcPr>
          <w:p w14:paraId="2B82B24A" w14:textId="51C1B57B" w:rsidR="009C4105" w:rsidRDefault="009C4105" w:rsidP="00D6660E">
            <w:pPr>
              <w:pStyle w:val="PlainIndent"/>
              <w:ind w:left="252"/>
            </w:pPr>
            <w:r>
              <w:t>D</w:t>
            </w:r>
          </w:p>
        </w:tc>
        <w:tc>
          <w:tcPr>
            <w:tcW w:w="6488" w:type="dxa"/>
            <w:tcBorders>
              <w:bottom w:val="single" w:sz="4" w:space="0" w:color="auto"/>
            </w:tcBorders>
          </w:tcPr>
          <w:p w14:paraId="4FFE87C4" w14:textId="0BDB51D1" w:rsidR="009C4105" w:rsidRDefault="009C4105" w:rsidP="00696C0B">
            <w:pPr>
              <w:pStyle w:val="PlainIndent"/>
              <w:ind w:left="70"/>
            </w:pPr>
            <w:r>
              <w:t>Clarification on when an Assessment is conducted</w:t>
            </w:r>
            <w:r w:rsidR="00A61221">
              <w:t>,</w:t>
            </w:r>
            <w:r>
              <w:t xml:space="preserve"> replacement of Business Unit with Operating Company (OpCo)</w:t>
            </w:r>
            <w:r w:rsidR="00A61221">
              <w:t xml:space="preserve"> and clarification on </w:t>
            </w:r>
            <w:r w:rsidR="00343118">
              <w:t>RAIL actions and documentation storage in 7.3.3.1 and 7.3.3.2</w:t>
            </w:r>
            <w:r w:rsidR="00650442">
              <w:t>.</w:t>
            </w:r>
          </w:p>
        </w:tc>
        <w:tc>
          <w:tcPr>
            <w:tcW w:w="2141" w:type="dxa"/>
            <w:tcBorders>
              <w:bottom w:val="single" w:sz="4" w:space="0" w:color="auto"/>
            </w:tcBorders>
          </w:tcPr>
          <w:p w14:paraId="72AB3D98" w14:textId="1487309D" w:rsidR="009C4105" w:rsidRDefault="00650442" w:rsidP="00D6660E">
            <w:pPr>
              <w:pStyle w:val="PlainIndent"/>
              <w:ind w:left="72"/>
            </w:pPr>
            <w:r>
              <w:t>9 September</w:t>
            </w:r>
            <w:r w:rsidR="00CE0521">
              <w:t xml:space="preserve"> 2022</w:t>
            </w:r>
          </w:p>
        </w:tc>
      </w:tr>
    </w:tbl>
    <w:p w14:paraId="5BB8926E" w14:textId="64696EC9" w:rsidR="0048612C" w:rsidRDefault="00625060" w:rsidP="00F91F91">
      <w:pPr>
        <w:pStyle w:val="Heading1"/>
      </w:pPr>
      <w:r w:rsidRPr="0007342A">
        <w:t>Approvals (Authorizing Signatures on File)</w:t>
      </w:r>
    </w:p>
    <w:p w14:paraId="3BCC0783" w14:textId="4B5B97B6" w:rsidR="00AB18B7" w:rsidRPr="00AB18B7" w:rsidRDefault="00AB18B7" w:rsidP="00D346C4">
      <w:pPr>
        <w:pStyle w:val="Heading2"/>
      </w:pPr>
      <w:r>
        <w:t>Director, Supplier Development, Triumph Group</w:t>
      </w:r>
    </w:p>
    <w:sectPr w:rsidR="00AB18B7" w:rsidRPr="00AB18B7" w:rsidSect="00891529">
      <w:headerReference w:type="default" r:id="rId16"/>
      <w:footerReference w:type="default" r:id="rId17"/>
      <w:headerReference w:type="first" r:id="rId18"/>
      <w:footerReference w:type="first" r:id="rId19"/>
      <w:pgSz w:w="12240" w:h="15840" w:code="1"/>
      <w:pgMar w:top="3780" w:right="907" w:bottom="720" w:left="994" w:header="630" w:footer="650" w:gutter="0"/>
      <w:cols w:space="475"/>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2BB81" w14:textId="77777777" w:rsidR="00730733" w:rsidRDefault="00730733">
      <w:r>
        <w:separator/>
      </w:r>
    </w:p>
  </w:endnote>
  <w:endnote w:type="continuationSeparator" w:id="0">
    <w:p w14:paraId="15E2CD6C" w14:textId="77777777" w:rsidR="00730733" w:rsidRDefault="0073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927B" w14:textId="77777777" w:rsidR="001E1420" w:rsidRDefault="001E1420" w:rsidP="00BB2A68">
    <w:pPr>
      <w:spacing w:before="0" w:after="0"/>
      <w:jc w:val="center"/>
      <w:rPr>
        <w:i/>
        <w:sz w:val="14"/>
        <w:szCs w:val="14"/>
      </w:rPr>
    </w:pPr>
  </w:p>
  <w:p w14:paraId="5BB8927D" w14:textId="7C19245C" w:rsidR="001E1420" w:rsidRPr="00DA23C9" w:rsidRDefault="00921C30" w:rsidP="00106B6F">
    <w:pPr>
      <w:spacing w:before="0" w:after="0"/>
      <w:jc w:val="center"/>
      <w:rPr>
        <w:i/>
        <w:color w:val="0000FF"/>
        <w:sz w:val="14"/>
        <w:szCs w:val="14"/>
      </w:rPr>
    </w:pPr>
    <w:r w:rsidRPr="008D05B0">
      <w:rPr>
        <w:i/>
        <w:sz w:val="14"/>
        <w:szCs w:val="14"/>
      </w:rPr>
      <w:t>Printed Document is uncontrolled. Verify current version of this document before use.</w:t>
    </w:r>
    <w:r w:rsidR="00106B6F" w:rsidRPr="00DA23C9">
      <w:rPr>
        <w:i/>
        <w:color w:val="0000FF"/>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928A" w14:textId="77777777" w:rsidR="001E1420" w:rsidRDefault="001E1420" w:rsidP="00625060">
    <w:pPr>
      <w:spacing w:before="0" w:after="0"/>
      <w:jc w:val="center"/>
      <w:rPr>
        <w:i/>
        <w:sz w:val="14"/>
        <w:szCs w:val="14"/>
      </w:rPr>
    </w:pPr>
  </w:p>
  <w:p w14:paraId="5BB8928B" w14:textId="77777777" w:rsidR="00921C30" w:rsidRPr="008D05B0" w:rsidRDefault="00921C30" w:rsidP="00921C30">
    <w:pPr>
      <w:spacing w:before="0" w:after="0"/>
      <w:jc w:val="center"/>
      <w:rPr>
        <w:i/>
        <w:sz w:val="14"/>
        <w:szCs w:val="14"/>
      </w:rPr>
    </w:pPr>
    <w:r w:rsidRPr="008D05B0">
      <w:rPr>
        <w:i/>
        <w:sz w:val="14"/>
        <w:szCs w:val="14"/>
      </w:rPr>
      <w:t>Printed Document is uncontrolled. Verify current version of this document before use.</w:t>
    </w:r>
  </w:p>
  <w:p w14:paraId="5BB8928C" w14:textId="77777777" w:rsidR="001E1420" w:rsidRPr="0012163F" w:rsidRDefault="00921C30" w:rsidP="00921C30">
    <w:pPr>
      <w:spacing w:before="0" w:after="0"/>
      <w:jc w:val="center"/>
      <w:rPr>
        <w:i/>
        <w:color w:val="0000FF"/>
        <w:sz w:val="14"/>
        <w:szCs w:val="14"/>
      </w:rPr>
    </w:pPr>
    <w:r w:rsidRPr="008D05B0">
      <w:rPr>
        <w:i/>
        <w:sz w:val="14"/>
        <w:szCs w:val="14"/>
      </w:rPr>
      <w:t xml:space="preserve">Document is maintained by Triumph Group Supplier Quality Management at </w:t>
    </w:r>
    <w:hyperlink r:id="rId1" w:history="1">
      <w:r w:rsidRPr="008D05B0">
        <w:rPr>
          <w:rStyle w:val="Hyperlink"/>
          <w:i/>
          <w:sz w:val="14"/>
          <w:szCs w:val="14"/>
        </w:rPr>
        <w:t>triumphsupplysource.com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E9C77" w14:textId="77777777" w:rsidR="00730733" w:rsidRDefault="00730733">
      <w:r>
        <w:separator/>
      </w:r>
    </w:p>
  </w:footnote>
  <w:footnote w:type="continuationSeparator" w:id="0">
    <w:p w14:paraId="12527959" w14:textId="77777777" w:rsidR="00730733" w:rsidRDefault="00730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9274" w14:textId="77777777" w:rsidR="001E1420" w:rsidRPr="00CD39A1" w:rsidRDefault="005204DA" w:rsidP="00625060">
    <w:pPr>
      <w:spacing w:before="60" w:after="0" w:line="40" w:lineRule="atLeast"/>
      <w:rPr>
        <w:b/>
        <w:color w:val="336699"/>
        <w:sz w:val="16"/>
        <w:szCs w:val="16"/>
      </w:rPr>
    </w:pPr>
    <w:r>
      <w:rPr>
        <w:noProof/>
      </w:rPr>
      <w:drawing>
        <wp:anchor distT="0" distB="0" distL="114300" distR="114300" simplePos="0" relativeHeight="251670528" behindDoc="1" locked="0" layoutInCell="1" allowOverlap="1" wp14:anchorId="5BB8928D" wp14:editId="5BB8928E">
          <wp:simplePos x="0" y="0"/>
          <wp:positionH relativeFrom="column">
            <wp:posOffset>-127000</wp:posOffset>
          </wp:positionH>
          <wp:positionV relativeFrom="paragraph">
            <wp:posOffset>55245</wp:posOffset>
          </wp:positionV>
          <wp:extent cx="1960880" cy="612775"/>
          <wp:effectExtent l="19050" t="0" r="1270" b="0"/>
          <wp:wrapNone/>
          <wp:docPr id="2" name="Picture 2" descr="TG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_2C"/>
                  <pic:cNvPicPr>
                    <a:picLocks noChangeAspect="1" noChangeArrowheads="1"/>
                  </pic:cNvPicPr>
                </pic:nvPicPr>
                <pic:blipFill>
                  <a:blip r:embed="rId1"/>
                  <a:srcRect/>
                  <a:stretch>
                    <a:fillRect/>
                  </a:stretch>
                </pic:blipFill>
                <pic:spPr bwMode="auto">
                  <a:xfrm>
                    <a:off x="0" y="0"/>
                    <a:ext cx="1960880" cy="612775"/>
                  </a:xfrm>
                  <a:prstGeom prst="rect">
                    <a:avLst/>
                  </a:prstGeom>
                  <a:noFill/>
                  <a:ln w="9525">
                    <a:noFill/>
                    <a:miter lim="800000"/>
                    <a:headEnd/>
                    <a:tailEnd/>
                  </a:ln>
                </pic:spPr>
              </pic:pic>
            </a:graphicData>
          </a:graphic>
        </wp:anchor>
      </w:drawing>
    </w:r>
  </w:p>
  <w:p w14:paraId="5BB89275" w14:textId="77777777" w:rsidR="001E1420" w:rsidRDefault="001E1420" w:rsidP="00625060">
    <w:pPr>
      <w:spacing w:before="60" w:after="0" w:line="40" w:lineRule="atLeast"/>
      <w:rPr>
        <w:b/>
        <w:color w:val="6D2323"/>
        <w:sz w:val="28"/>
      </w:rPr>
    </w:pPr>
  </w:p>
  <w:p w14:paraId="5BB89276" w14:textId="77777777" w:rsidR="001E1420" w:rsidRDefault="001E1420" w:rsidP="00625060">
    <w:pPr>
      <w:spacing w:before="60" w:after="0" w:line="40" w:lineRule="atLeast"/>
      <w:rPr>
        <w:b/>
        <w:color w:val="8C2633"/>
        <w:sz w:val="28"/>
        <w:szCs w:val="28"/>
      </w:rPr>
    </w:pPr>
  </w:p>
  <w:p w14:paraId="5BB89277" w14:textId="77777777" w:rsidR="001E1420" w:rsidRPr="001F5311" w:rsidRDefault="001E1420" w:rsidP="00625060">
    <w:pPr>
      <w:spacing w:before="60" w:after="0" w:line="40" w:lineRule="atLeast"/>
      <w:rPr>
        <w:b/>
        <w:color w:val="8C2633"/>
        <w:sz w:val="28"/>
        <w:szCs w:val="28"/>
      </w:rPr>
    </w:pPr>
    <w:r w:rsidRPr="001F5311">
      <w:rPr>
        <w:b/>
        <w:color w:val="8C2633"/>
        <w:sz w:val="28"/>
        <w:szCs w:val="28"/>
      </w:rPr>
      <w:t>Triumph Group Supply Chain Management Procedure</w:t>
    </w:r>
  </w:p>
  <w:p w14:paraId="5BB89278" w14:textId="39AD3F96" w:rsidR="001E1420" w:rsidRPr="001F5311" w:rsidRDefault="001E1420" w:rsidP="007E43DC">
    <w:pPr>
      <w:pStyle w:val="Header"/>
      <w:rPr>
        <w:b/>
        <w:sz w:val="24"/>
        <w:szCs w:val="24"/>
      </w:rPr>
    </w:pPr>
    <w:r>
      <w:rPr>
        <w:b/>
        <w:sz w:val="24"/>
        <w:szCs w:val="24"/>
      </w:rPr>
      <w:t>SCMP 3.3</w:t>
    </w:r>
    <w:r w:rsidRPr="001F5311">
      <w:rPr>
        <w:b/>
        <w:sz w:val="24"/>
        <w:szCs w:val="24"/>
      </w:rPr>
      <w:t xml:space="preserve"> – </w:t>
    </w:r>
    <w:r>
      <w:rPr>
        <w:b/>
        <w:sz w:val="24"/>
        <w:szCs w:val="24"/>
      </w:rPr>
      <w:t>Supplier Capability Assessments</w:t>
    </w:r>
  </w:p>
  <w:p w14:paraId="5BB89279" w14:textId="1791307E" w:rsidR="001E1420" w:rsidRPr="001F5311" w:rsidRDefault="001E1420" w:rsidP="00625060">
    <w:pPr>
      <w:pStyle w:val="Header"/>
    </w:pPr>
    <w:r>
      <w:t xml:space="preserve">Revision Level: </w:t>
    </w:r>
    <w:r w:rsidR="00C57D14">
      <w:t>D</w:t>
    </w:r>
  </w:p>
  <w:p w14:paraId="5BB8927A" w14:textId="3D57630B" w:rsidR="001E1420" w:rsidRDefault="001E1420" w:rsidP="00D21755">
    <w:pPr>
      <w:pStyle w:val="Header"/>
      <w:pBdr>
        <w:bottom w:val="single" w:sz="8" w:space="1" w:color="000000"/>
      </w:pBdr>
      <w:tabs>
        <w:tab w:val="clear" w:pos="8640"/>
        <w:tab w:val="left" w:pos="8910"/>
      </w:tabs>
      <w:spacing w:after="120" w:line="360" w:lineRule="auto"/>
      <w:rPr>
        <w:rStyle w:val="PageNumber"/>
      </w:rPr>
    </w:pPr>
    <w:r w:rsidRPr="001F5311">
      <w:t>Effective Date:</w:t>
    </w:r>
    <w:r w:rsidR="00B86801">
      <w:t xml:space="preserve"> </w:t>
    </w:r>
    <w:r w:rsidR="003B08CA">
      <w:t>9 September</w:t>
    </w:r>
    <w:r w:rsidR="00C57D14">
      <w:t xml:space="preserve"> 2022</w:t>
    </w:r>
    <w:r w:rsidRPr="001F5311">
      <w:tab/>
      <w:t xml:space="preserve">Page </w:t>
    </w:r>
    <w:r w:rsidR="009E541B" w:rsidRPr="001F5311">
      <w:rPr>
        <w:rStyle w:val="PageNumber"/>
      </w:rPr>
      <w:fldChar w:fldCharType="begin"/>
    </w:r>
    <w:r w:rsidRPr="001F5311">
      <w:rPr>
        <w:rStyle w:val="PageNumber"/>
      </w:rPr>
      <w:instrText xml:space="preserve"> PAGE </w:instrText>
    </w:r>
    <w:r w:rsidR="009E541B" w:rsidRPr="001F5311">
      <w:rPr>
        <w:rStyle w:val="PageNumber"/>
      </w:rPr>
      <w:fldChar w:fldCharType="separate"/>
    </w:r>
    <w:r w:rsidR="00A53034">
      <w:rPr>
        <w:rStyle w:val="PageNumber"/>
        <w:noProof/>
      </w:rPr>
      <w:t>4</w:t>
    </w:r>
    <w:r w:rsidR="009E541B" w:rsidRPr="001F5311">
      <w:rPr>
        <w:rStyle w:val="PageNumber"/>
      </w:rPr>
      <w:fldChar w:fldCharType="end"/>
    </w:r>
    <w:r w:rsidRPr="001F5311">
      <w:t xml:space="preserve"> of </w:t>
    </w:r>
    <w:r w:rsidR="009E541B" w:rsidRPr="001F5311">
      <w:rPr>
        <w:rStyle w:val="PageNumber"/>
      </w:rPr>
      <w:fldChar w:fldCharType="begin"/>
    </w:r>
    <w:r w:rsidRPr="001F5311">
      <w:rPr>
        <w:rStyle w:val="PageNumber"/>
      </w:rPr>
      <w:instrText xml:space="preserve"> NUMPAGES </w:instrText>
    </w:r>
    <w:r w:rsidR="009E541B" w:rsidRPr="001F5311">
      <w:rPr>
        <w:rStyle w:val="PageNumber"/>
      </w:rPr>
      <w:fldChar w:fldCharType="separate"/>
    </w:r>
    <w:r w:rsidR="00A53034">
      <w:rPr>
        <w:rStyle w:val="PageNumber"/>
        <w:noProof/>
      </w:rPr>
      <w:t>4</w:t>
    </w:r>
    <w:r w:rsidR="009E541B" w:rsidRPr="001F5311">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927E" w14:textId="77777777" w:rsidR="001E1420" w:rsidRPr="00CD39A1" w:rsidRDefault="005204DA" w:rsidP="00FD17FE">
    <w:pPr>
      <w:spacing w:before="60" w:after="0" w:line="40" w:lineRule="atLeast"/>
      <w:rPr>
        <w:b/>
        <w:color w:val="336699"/>
        <w:sz w:val="16"/>
        <w:szCs w:val="16"/>
      </w:rPr>
    </w:pPr>
    <w:r>
      <w:rPr>
        <w:noProof/>
      </w:rPr>
      <w:drawing>
        <wp:anchor distT="0" distB="0" distL="114300" distR="114300" simplePos="0" relativeHeight="251659264" behindDoc="1" locked="0" layoutInCell="1" allowOverlap="1" wp14:anchorId="5BB8928F" wp14:editId="5BB89290">
          <wp:simplePos x="0" y="0"/>
          <wp:positionH relativeFrom="column">
            <wp:posOffset>-127000</wp:posOffset>
          </wp:positionH>
          <wp:positionV relativeFrom="paragraph">
            <wp:posOffset>67945</wp:posOffset>
          </wp:positionV>
          <wp:extent cx="1960880" cy="612775"/>
          <wp:effectExtent l="19050" t="0" r="1270" b="0"/>
          <wp:wrapNone/>
          <wp:docPr id="1" name="Picture 1" descr="TG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_2C"/>
                  <pic:cNvPicPr>
                    <a:picLocks noChangeAspect="1" noChangeArrowheads="1"/>
                  </pic:cNvPicPr>
                </pic:nvPicPr>
                <pic:blipFill>
                  <a:blip r:embed="rId1"/>
                  <a:srcRect/>
                  <a:stretch>
                    <a:fillRect/>
                  </a:stretch>
                </pic:blipFill>
                <pic:spPr bwMode="auto">
                  <a:xfrm>
                    <a:off x="0" y="0"/>
                    <a:ext cx="1960880" cy="612775"/>
                  </a:xfrm>
                  <a:prstGeom prst="rect">
                    <a:avLst/>
                  </a:prstGeom>
                  <a:noFill/>
                  <a:ln w="9525">
                    <a:noFill/>
                    <a:miter lim="800000"/>
                    <a:headEnd/>
                    <a:tailEnd/>
                  </a:ln>
                </pic:spPr>
              </pic:pic>
            </a:graphicData>
          </a:graphic>
        </wp:anchor>
      </w:drawing>
    </w:r>
  </w:p>
  <w:p w14:paraId="5BB8927F" w14:textId="77777777" w:rsidR="001E1420" w:rsidRDefault="001E1420" w:rsidP="00FD17FE">
    <w:pPr>
      <w:spacing w:before="60" w:after="0" w:line="40" w:lineRule="atLeast"/>
      <w:rPr>
        <w:b/>
        <w:color w:val="6D2323"/>
        <w:sz w:val="28"/>
      </w:rPr>
    </w:pPr>
  </w:p>
  <w:p w14:paraId="5BB89280" w14:textId="77777777" w:rsidR="001E1420" w:rsidRDefault="001E1420" w:rsidP="00FD17FE">
    <w:pPr>
      <w:spacing w:before="60" w:after="0" w:line="40" w:lineRule="atLeast"/>
      <w:rPr>
        <w:b/>
        <w:color w:val="8C2633"/>
        <w:sz w:val="28"/>
        <w:szCs w:val="28"/>
      </w:rPr>
    </w:pPr>
  </w:p>
  <w:p w14:paraId="5BB89281" w14:textId="77777777" w:rsidR="001E1420" w:rsidRPr="001F5311" w:rsidRDefault="001E1420" w:rsidP="00D61EFE">
    <w:pPr>
      <w:spacing w:before="60" w:after="0" w:line="40" w:lineRule="atLeast"/>
      <w:rPr>
        <w:b/>
        <w:color w:val="8C2633"/>
        <w:sz w:val="28"/>
        <w:szCs w:val="28"/>
      </w:rPr>
    </w:pPr>
    <w:r w:rsidRPr="001F5311">
      <w:rPr>
        <w:b/>
        <w:color w:val="8C2633"/>
        <w:sz w:val="28"/>
        <w:szCs w:val="28"/>
      </w:rPr>
      <w:t>Triumph Group Supply Chain Management Procedure</w:t>
    </w:r>
  </w:p>
  <w:p w14:paraId="5BB89282" w14:textId="3AEBC320" w:rsidR="001E1420" w:rsidRPr="001F5311" w:rsidRDefault="001E1420" w:rsidP="00D61EFE">
    <w:pPr>
      <w:pStyle w:val="Header"/>
      <w:rPr>
        <w:b/>
        <w:sz w:val="24"/>
        <w:szCs w:val="24"/>
      </w:rPr>
    </w:pPr>
    <w:r>
      <w:rPr>
        <w:b/>
        <w:sz w:val="24"/>
        <w:szCs w:val="24"/>
      </w:rPr>
      <w:t>SCMP 3.3</w:t>
    </w:r>
    <w:r w:rsidRPr="001F5311">
      <w:rPr>
        <w:b/>
        <w:sz w:val="24"/>
        <w:szCs w:val="24"/>
      </w:rPr>
      <w:t xml:space="preserve"> – </w:t>
    </w:r>
    <w:r>
      <w:rPr>
        <w:b/>
        <w:sz w:val="24"/>
        <w:szCs w:val="24"/>
      </w:rPr>
      <w:t>Supplier Capability Assessment</w:t>
    </w:r>
  </w:p>
  <w:p w14:paraId="5BB89283" w14:textId="767AC6F5" w:rsidR="001E1420" w:rsidRPr="001F5311" w:rsidRDefault="001E1420" w:rsidP="00D61EFE">
    <w:pPr>
      <w:pStyle w:val="Header"/>
    </w:pPr>
    <w:r>
      <w:t xml:space="preserve">Revision Level: </w:t>
    </w:r>
    <w:r w:rsidR="00C57D14">
      <w:t>D</w:t>
    </w:r>
  </w:p>
  <w:p w14:paraId="5BB89284" w14:textId="3F823DA8" w:rsidR="001E1420" w:rsidRDefault="001E1420" w:rsidP="00D61EFE">
    <w:pPr>
      <w:pStyle w:val="Header"/>
      <w:tabs>
        <w:tab w:val="clear" w:pos="8640"/>
        <w:tab w:val="left" w:pos="9090"/>
      </w:tabs>
      <w:spacing w:after="120"/>
    </w:pPr>
    <w:r w:rsidRPr="001F5311">
      <w:t xml:space="preserve">Effective Date: </w:t>
    </w:r>
    <w:r w:rsidR="003B08CA">
      <w:t>9 September</w:t>
    </w:r>
    <w:r w:rsidR="00DC61DD">
      <w:t xml:space="preserve"> 2022</w:t>
    </w:r>
  </w:p>
  <w:tbl>
    <w:tblPr>
      <w:tblW w:w="10465" w:type="dxa"/>
      <w:tblLayout w:type="fixed"/>
      <w:tblCellMar>
        <w:left w:w="115" w:type="dxa"/>
        <w:right w:w="115" w:type="dxa"/>
      </w:tblCellMar>
      <w:tblLook w:val="04A0" w:firstRow="1" w:lastRow="0" w:firstColumn="1" w:lastColumn="0" w:noHBand="0" w:noVBand="1"/>
    </w:tblPr>
    <w:tblGrid>
      <w:gridCol w:w="2005"/>
      <w:gridCol w:w="6390"/>
      <w:gridCol w:w="2070"/>
    </w:tblGrid>
    <w:tr w:rsidR="001E1420" w14:paraId="5BB89288" w14:textId="77777777" w:rsidTr="00445AC4">
      <w:trPr>
        <w:trHeight w:val="571"/>
      </w:trPr>
      <w:tc>
        <w:tcPr>
          <w:tcW w:w="2005" w:type="dxa"/>
        </w:tcPr>
        <w:p w14:paraId="5BB89285" w14:textId="77777777" w:rsidR="001E1420" w:rsidRDefault="001E1420" w:rsidP="00445AC4">
          <w:pPr>
            <w:pStyle w:val="Header"/>
            <w:tabs>
              <w:tab w:val="clear" w:pos="8640"/>
              <w:tab w:val="left" w:pos="9090"/>
            </w:tabs>
            <w:spacing w:after="120" w:line="360" w:lineRule="auto"/>
            <w:ind w:right="-25"/>
          </w:pPr>
          <w:r>
            <w:t>AS9100 Linkage:</w:t>
          </w:r>
        </w:p>
      </w:tc>
      <w:tc>
        <w:tcPr>
          <w:tcW w:w="6390" w:type="dxa"/>
          <w:tcMar>
            <w:left w:w="144" w:type="dxa"/>
          </w:tcMar>
        </w:tcPr>
        <w:p w14:paraId="5BB89286" w14:textId="67512CB6" w:rsidR="001E1420" w:rsidRPr="00005BC2" w:rsidRDefault="001E1420" w:rsidP="0059069B">
          <w:pPr>
            <w:pStyle w:val="Header"/>
            <w:tabs>
              <w:tab w:val="clear" w:pos="8640"/>
              <w:tab w:val="left" w:pos="9090"/>
            </w:tabs>
            <w:spacing w:after="120"/>
          </w:pPr>
          <w:r>
            <w:t xml:space="preserve">AS9100 Section </w:t>
          </w:r>
          <w:r w:rsidR="00B86801">
            <w:t>8.4</w:t>
          </w:r>
        </w:p>
      </w:tc>
      <w:tc>
        <w:tcPr>
          <w:tcW w:w="2070" w:type="dxa"/>
        </w:tcPr>
        <w:p w14:paraId="5BB89287" w14:textId="16273DEF" w:rsidR="001E1420" w:rsidRDefault="001E1420" w:rsidP="00D61EFE">
          <w:pPr>
            <w:jc w:val="right"/>
          </w:pPr>
          <w:r>
            <w:t xml:space="preserve">Page </w:t>
          </w:r>
          <w:r w:rsidR="005662FB">
            <w:fldChar w:fldCharType="begin"/>
          </w:r>
          <w:r w:rsidR="005662FB">
            <w:instrText xml:space="preserve"> PAGE </w:instrText>
          </w:r>
          <w:r w:rsidR="005662FB">
            <w:fldChar w:fldCharType="separate"/>
          </w:r>
          <w:r w:rsidR="00A53034">
            <w:rPr>
              <w:noProof/>
            </w:rPr>
            <w:t>1</w:t>
          </w:r>
          <w:r w:rsidR="005662FB">
            <w:rPr>
              <w:noProof/>
            </w:rPr>
            <w:fldChar w:fldCharType="end"/>
          </w:r>
          <w:r>
            <w:t xml:space="preserve"> of </w:t>
          </w:r>
          <w:fldSimple w:instr=" NUMPAGES  ">
            <w:r w:rsidR="00A53034">
              <w:rPr>
                <w:noProof/>
              </w:rPr>
              <w:t>4</w:t>
            </w:r>
          </w:fldSimple>
        </w:p>
      </w:tc>
    </w:tr>
  </w:tbl>
  <w:p w14:paraId="5BB89289" w14:textId="77777777" w:rsidR="001E1420" w:rsidRPr="001A35F7" w:rsidRDefault="001E1420" w:rsidP="00D61EFE">
    <w:pPr>
      <w:pStyle w:val="Header"/>
      <w:pBdr>
        <w:bottom w:val="single" w:sz="8" w:space="1" w:color="000000"/>
      </w:pBdr>
      <w:tabs>
        <w:tab w:val="clear" w:pos="4320"/>
        <w:tab w:val="clear" w:pos="8640"/>
        <w:tab w:val="left" w:pos="6380"/>
      </w:tabs>
      <w:spacing w:before="0" w:after="0"/>
      <w:rPr>
        <w:rStyle w:val="PageNumbe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DA653A"/>
    <w:lvl w:ilvl="0">
      <w:start w:val="1"/>
      <w:numFmt w:val="decimal"/>
      <w:lvlText w:val="%1."/>
      <w:lvlJc w:val="left"/>
      <w:pPr>
        <w:tabs>
          <w:tab w:val="num" w:pos="1800"/>
        </w:tabs>
        <w:ind w:left="1800" w:hanging="360"/>
      </w:pPr>
    </w:lvl>
  </w:abstractNum>
  <w:abstractNum w:abstractNumId="1" w15:restartNumberingAfterBreak="0">
    <w:nsid w:val="FFFFFFFB"/>
    <w:multiLevelType w:val="multilevel"/>
    <w:tmpl w:val="4EA20B24"/>
    <w:lvl w:ilvl="0">
      <w:start w:val="1"/>
      <w:numFmt w:val="decimal"/>
      <w:lvlText w:val="%1."/>
      <w:lvlJc w:val="left"/>
      <w:pPr>
        <w:ind w:left="360" w:hanging="360"/>
      </w:pPr>
      <w:rPr>
        <w:rFonts w:hint="default"/>
      </w:rPr>
    </w:lvl>
    <w:lvl w:ilvl="1">
      <w:start w:val="1"/>
      <w:numFmt w:val="decimal"/>
      <w:lvlText w:val="%1.%2"/>
      <w:lvlJc w:val="left"/>
      <w:pPr>
        <w:tabs>
          <w:tab w:val="num" w:pos="1440"/>
        </w:tabs>
        <w:ind w:left="1440" w:hanging="864"/>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154" w:hanging="720"/>
      </w:pPr>
      <w:rPr>
        <w:rFonts w:hint="default"/>
      </w:rPr>
    </w:lvl>
    <w:lvl w:ilvl="4">
      <w:start w:val="1"/>
      <w:numFmt w:val="decimal"/>
      <w:lvlText w:val="%1.%2.%3.%4.%5"/>
      <w:lvlJc w:val="left"/>
      <w:pPr>
        <w:tabs>
          <w:tab w:val="num" w:pos="0"/>
        </w:tabs>
        <w:ind w:left="4176" w:hanging="720"/>
      </w:pPr>
      <w:rPr>
        <w:rFonts w:hint="default"/>
      </w:rPr>
    </w:lvl>
    <w:lvl w:ilvl="5">
      <w:start w:val="1"/>
      <w:numFmt w:val="decimal"/>
      <w:lvlText w:val="%1.%2.%3.%4.%5.%6"/>
      <w:lvlJc w:val="left"/>
      <w:pPr>
        <w:tabs>
          <w:tab w:val="num" w:pos="0"/>
        </w:tabs>
        <w:ind w:left="4608" w:hanging="1008"/>
      </w:pPr>
      <w:rPr>
        <w:rFonts w:ascii="Tahoma" w:hAnsi="Tahoma" w:hint="default"/>
        <w:b w:val="0"/>
        <w:i w:val="0"/>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 w15:restartNumberingAfterBreak="0">
    <w:nsid w:val="03713E94"/>
    <w:multiLevelType w:val="multilevel"/>
    <w:tmpl w:val="9B16058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864"/>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154" w:hanging="720"/>
      </w:pPr>
      <w:rPr>
        <w:rFonts w:hint="default"/>
      </w:rPr>
    </w:lvl>
    <w:lvl w:ilvl="4">
      <w:start w:val="1"/>
      <w:numFmt w:val="decimal"/>
      <w:lvlText w:val="%1.%2.%3.%4.%5"/>
      <w:lvlJc w:val="left"/>
      <w:pPr>
        <w:tabs>
          <w:tab w:val="num" w:pos="0"/>
        </w:tabs>
        <w:ind w:left="4176"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3" w15:restartNumberingAfterBreak="0">
    <w:nsid w:val="045B4DFE"/>
    <w:multiLevelType w:val="hybridMultilevel"/>
    <w:tmpl w:val="A6221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30562"/>
    <w:multiLevelType w:val="hybridMultilevel"/>
    <w:tmpl w:val="53D6A68E"/>
    <w:lvl w:ilvl="0" w:tplc="0EAA03C8">
      <w:start w:val="5"/>
      <w:numFmt w:val="decimal"/>
      <w:lvlText w:val="%1.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A591DB6"/>
    <w:multiLevelType w:val="hybridMultilevel"/>
    <w:tmpl w:val="BE045B38"/>
    <w:lvl w:ilvl="0" w:tplc="CB04F290">
      <w:start w:val="1"/>
      <w:numFmt w:val="decimal"/>
      <w:lvlText w:val="%1.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15:restartNumberingAfterBreak="0">
    <w:nsid w:val="299A2CBF"/>
    <w:multiLevelType w:val="hybridMultilevel"/>
    <w:tmpl w:val="C0F06EF8"/>
    <w:lvl w:ilvl="0" w:tplc="B3204BFE">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C2A6A"/>
    <w:multiLevelType w:val="multilevel"/>
    <w:tmpl w:val="82AA26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864"/>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154" w:hanging="720"/>
      </w:pPr>
      <w:rPr>
        <w:rFonts w:hint="default"/>
      </w:rPr>
    </w:lvl>
    <w:lvl w:ilvl="4">
      <w:start w:val="1"/>
      <w:numFmt w:val="decimal"/>
      <w:lvlText w:val="%1.%2.%3.%4.%5"/>
      <w:lvlJc w:val="left"/>
      <w:pPr>
        <w:tabs>
          <w:tab w:val="num" w:pos="0"/>
        </w:tabs>
        <w:ind w:left="4176"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8" w15:restartNumberingAfterBreak="0">
    <w:nsid w:val="39BA650F"/>
    <w:multiLevelType w:val="multilevel"/>
    <w:tmpl w:val="6090C7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6B1638"/>
    <w:multiLevelType w:val="hybridMultilevel"/>
    <w:tmpl w:val="2F486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7F7702"/>
    <w:multiLevelType w:val="multilevel"/>
    <w:tmpl w:val="0620389E"/>
    <w:lvl w:ilvl="0">
      <w:start w:val="1"/>
      <w:numFmt w:val="decimal"/>
      <w:pStyle w:val="Heading1"/>
      <w:lvlText w:val="%1."/>
      <w:lvlJc w:val="left"/>
      <w:pPr>
        <w:ind w:left="360" w:hanging="360"/>
      </w:pPr>
    </w:lvl>
    <w:lvl w:ilvl="1">
      <w:start w:val="1"/>
      <w:numFmt w:val="decimal"/>
      <w:pStyle w:val="Heading2"/>
      <w:lvlText w:val="%1.%2"/>
      <w:lvlJc w:val="left"/>
      <w:pPr>
        <w:ind w:left="3096" w:hanging="576"/>
      </w:pPr>
      <w:rPr>
        <w:color w:val="auto"/>
      </w:rPr>
    </w:lvl>
    <w:lvl w:ilvl="2">
      <w:start w:val="1"/>
      <w:numFmt w:val="decimal"/>
      <w:pStyle w:val="Heading4"/>
      <w:lvlText w:val="%1.%2.%3"/>
      <w:lvlJc w:val="left"/>
      <w:pPr>
        <w:ind w:left="720" w:hanging="720"/>
      </w:pPr>
      <w:rPr>
        <w:i w:val="0"/>
        <w:color w:val="auto"/>
      </w:rPr>
    </w:lvl>
    <w:lvl w:ilvl="3">
      <w:start w:val="1"/>
      <w:numFmt w:val="decimal"/>
      <w:pStyle w:val="Heading5"/>
      <w:lvlText w:val="%1.%2.%3.%4"/>
      <w:lvlJc w:val="left"/>
      <w:pPr>
        <w:ind w:left="864" w:hanging="864"/>
      </w:pPr>
      <w:rPr>
        <w:i w:val="0"/>
        <w:color w:val="auto"/>
      </w:rPr>
    </w:lvl>
    <w:lvl w:ilvl="4">
      <w:start w:val="1"/>
      <w:numFmt w:val="decimal"/>
      <w:pStyle w:val="Heading6a"/>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55E62593"/>
    <w:multiLevelType w:val="hybridMultilevel"/>
    <w:tmpl w:val="61567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51388"/>
    <w:multiLevelType w:val="hybridMultilevel"/>
    <w:tmpl w:val="1C7E6312"/>
    <w:lvl w:ilvl="0" w:tplc="2B140F2C">
      <w:start w:val="1"/>
      <w:numFmt w:val="bullet"/>
      <w:lvlText w:val=""/>
      <w:lvlJc w:val="left"/>
      <w:pPr>
        <w:tabs>
          <w:tab w:val="num" w:pos="720"/>
        </w:tabs>
        <w:ind w:left="720" w:hanging="360"/>
      </w:pPr>
      <w:rPr>
        <w:rFonts w:ascii="Wingdings" w:hAnsi="Wingdings" w:hint="default"/>
      </w:rPr>
    </w:lvl>
    <w:lvl w:ilvl="1" w:tplc="63EE120A" w:tentative="1">
      <w:start w:val="1"/>
      <w:numFmt w:val="bullet"/>
      <w:lvlText w:val=""/>
      <w:lvlJc w:val="left"/>
      <w:pPr>
        <w:tabs>
          <w:tab w:val="num" w:pos="1440"/>
        </w:tabs>
        <w:ind w:left="1440" w:hanging="360"/>
      </w:pPr>
      <w:rPr>
        <w:rFonts w:ascii="Wingdings" w:hAnsi="Wingdings" w:hint="default"/>
      </w:rPr>
    </w:lvl>
    <w:lvl w:ilvl="2" w:tplc="64CEB21E">
      <w:start w:val="1"/>
      <w:numFmt w:val="bullet"/>
      <w:lvlText w:val=""/>
      <w:lvlJc w:val="left"/>
      <w:pPr>
        <w:tabs>
          <w:tab w:val="num" w:pos="2160"/>
        </w:tabs>
        <w:ind w:left="2160" w:hanging="360"/>
      </w:pPr>
      <w:rPr>
        <w:rFonts w:ascii="Wingdings" w:hAnsi="Wingdings" w:hint="default"/>
      </w:rPr>
    </w:lvl>
    <w:lvl w:ilvl="3" w:tplc="AB3CC5F2" w:tentative="1">
      <w:start w:val="1"/>
      <w:numFmt w:val="bullet"/>
      <w:lvlText w:val=""/>
      <w:lvlJc w:val="left"/>
      <w:pPr>
        <w:tabs>
          <w:tab w:val="num" w:pos="2880"/>
        </w:tabs>
        <w:ind w:left="2880" w:hanging="360"/>
      </w:pPr>
      <w:rPr>
        <w:rFonts w:ascii="Wingdings" w:hAnsi="Wingdings" w:hint="default"/>
      </w:rPr>
    </w:lvl>
    <w:lvl w:ilvl="4" w:tplc="757462FE" w:tentative="1">
      <w:start w:val="1"/>
      <w:numFmt w:val="bullet"/>
      <w:lvlText w:val=""/>
      <w:lvlJc w:val="left"/>
      <w:pPr>
        <w:tabs>
          <w:tab w:val="num" w:pos="3600"/>
        </w:tabs>
        <w:ind w:left="3600" w:hanging="360"/>
      </w:pPr>
      <w:rPr>
        <w:rFonts w:ascii="Wingdings" w:hAnsi="Wingdings" w:hint="default"/>
      </w:rPr>
    </w:lvl>
    <w:lvl w:ilvl="5" w:tplc="495EEC7E" w:tentative="1">
      <w:start w:val="1"/>
      <w:numFmt w:val="bullet"/>
      <w:lvlText w:val=""/>
      <w:lvlJc w:val="left"/>
      <w:pPr>
        <w:tabs>
          <w:tab w:val="num" w:pos="4320"/>
        </w:tabs>
        <w:ind w:left="4320" w:hanging="360"/>
      </w:pPr>
      <w:rPr>
        <w:rFonts w:ascii="Wingdings" w:hAnsi="Wingdings" w:hint="default"/>
      </w:rPr>
    </w:lvl>
    <w:lvl w:ilvl="6" w:tplc="44F2695C" w:tentative="1">
      <w:start w:val="1"/>
      <w:numFmt w:val="bullet"/>
      <w:lvlText w:val=""/>
      <w:lvlJc w:val="left"/>
      <w:pPr>
        <w:tabs>
          <w:tab w:val="num" w:pos="5040"/>
        </w:tabs>
        <w:ind w:left="5040" w:hanging="360"/>
      </w:pPr>
      <w:rPr>
        <w:rFonts w:ascii="Wingdings" w:hAnsi="Wingdings" w:hint="default"/>
      </w:rPr>
    </w:lvl>
    <w:lvl w:ilvl="7" w:tplc="63A29CD2" w:tentative="1">
      <w:start w:val="1"/>
      <w:numFmt w:val="bullet"/>
      <w:lvlText w:val=""/>
      <w:lvlJc w:val="left"/>
      <w:pPr>
        <w:tabs>
          <w:tab w:val="num" w:pos="5760"/>
        </w:tabs>
        <w:ind w:left="5760" w:hanging="360"/>
      </w:pPr>
      <w:rPr>
        <w:rFonts w:ascii="Wingdings" w:hAnsi="Wingdings" w:hint="default"/>
      </w:rPr>
    </w:lvl>
    <w:lvl w:ilvl="8" w:tplc="924291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D46A9A"/>
    <w:multiLevelType w:val="hybridMultilevel"/>
    <w:tmpl w:val="C0CE4764"/>
    <w:lvl w:ilvl="0" w:tplc="082CF1CE">
      <w:start w:val="1"/>
      <w:numFmt w:val="decimal"/>
      <w:lvlText w:val="7.%15"/>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1857F39"/>
    <w:multiLevelType w:val="hybridMultilevel"/>
    <w:tmpl w:val="9FB8D02A"/>
    <w:lvl w:ilvl="0" w:tplc="1334FF32">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7C13282"/>
    <w:multiLevelType w:val="multilevel"/>
    <w:tmpl w:val="2FD8EC0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864"/>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154" w:hanging="720"/>
      </w:pPr>
      <w:rPr>
        <w:rFonts w:hint="default"/>
      </w:rPr>
    </w:lvl>
    <w:lvl w:ilvl="4">
      <w:start w:val="1"/>
      <w:numFmt w:val="decimal"/>
      <w:lvlText w:val="%1.%2.%3.%4.%5"/>
      <w:lvlJc w:val="left"/>
      <w:pPr>
        <w:tabs>
          <w:tab w:val="num" w:pos="0"/>
        </w:tabs>
        <w:ind w:left="4176" w:hanging="720"/>
      </w:pPr>
      <w:rPr>
        <w:rFonts w:hint="default"/>
      </w:rPr>
    </w:lvl>
    <w:lvl w:ilvl="5">
      <w:start w:val="1"/>
      <w:numFmt w:val="decimal"/>
      <w:lvlText w:val="%1.%2.%3.%4.%5.%6"/>
      <w:lvlJc w:val="left"/>
      <w:pPr>
        <w:tabs>
          <w:tab w:val="num" w:pos="0"/>
        </w:tabs>
        <w:ind w:left="4320" w:hanging="720"/>
      </w:pPr>
      <w:rPr>
        <w:rFonts w:ascii="Tahoma" w:hAnsi="Tahoma" w:hint="default"/>
        <w:b w:val="0"/>
        <w:i w:val="0"/>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6" w15:restartNumberingAfterBreak="0">
    <w:nsid w:val="6E3817FD"/>
    <w:multiLevelType w:val="multilevel"/>
    <w:tmpl w:val="31749CD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864"/>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154" w:hanging="720"/>
      </w:pPr>
      <w:rPr>
        <w:rFonts w:hint="default"/>
      </w:rPr>
    </w:lvl>
    <w:lvl w:ilvl="4">
      <w:start w:val="1"/>
      <w:numFmt w:val="decimal"/>
      <w:lvlText w:val="%1.%2.%3.%4.%5."/>
      <w:lvlJc w:val="left"/>
      <w:pPr>
        <w:tabs>
          <w:tab w:val="num" w:pos="0"/>
        </w:tabs>
        <w:ind w:left="4176"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num w:numId="1" w16cid:durableId="1528834128">
    <w:abstractNumId w:val="1"/>
  </w:num>
  <w:num w:numId="2" w16cid:durableId="917635850">
    <w:abstractNumId w:val="16"/>
  </w:num>
  <w:num w:numId="3" w16cid:durableId="250312055">
    <w:abstractNumId w:val="7"/>
  </w:num>
  <w:num w:numId="4" w16cid:durableId="1115250262">
    <w:abstractNumId w:val="2"/>
  </w:num>
  <w:num w:numId="5" w16cid:durableId="873344377">
    <w:abstractNumId w:val="15"/>
  </w:num>
  <w:num w:numId="6" w16cid:durableId="126633385">
    <w:abstractNumId w:val="4"/>
  </w:num>
  <w:num w:numId="7" w16cid:durableId="15231255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0228061">
    <w:abstractNumId w:val="5"/>
  </w:num>
  <w:num w:numId="9" w16cid:durableId="216550331">
    <w:abstractNumId w:val="3"/>
  </w:num>
  <w:num w:numId="10" w16cid:durableId="412095176">
    <w:abstractNumId w:val="8"/>
  </w:num>
  <w:num w:numId="11" w16cid:durableId="1656955126">
    <w:abstractNumId w:val="14"/>
  </w:num>
  <w:num w:numId="12" w16cid:durableId="1435443665">
    <w:abstractNumId w:val="10"/>
  </w:num>
  <w:num w:numId="13" w16cid:durableId="1981764633">
    <w:abstractNumId w:val="0"/>
  </w:num>
  <w:num w:numId="14" w16cid:durableId="1813910087">
    <w:abstractNumId w:val="11"/>
  </w:num>
  <w:num w:numId="15" w16cid:durableId="13874128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0037393">
    <w:abstractNumId w:val="9"/>
  </w:num>
  <w:num w:numId="17" w16cid:durableId="1341666601">
    <w:abstractNumId w:val="12"/>
  </w:num>
  <w:num w:numId="18" w16cid:durableId="1801605368">
    <w:abstractNumId w:val="6"/>
  </w:num>
  <w:num w:numId="19" w16cid:durableId="1088388641">
    <w:abstractNumId w:val="13"/>
  </w:num>
  <w:num w:numId="20" w16cid:durableId="867646635">
    <w:abstractNumId w:val="10"/>
  </w:num>
  <w:num w:numId="21" w16cid:durableId="938951083">
    <w:abstractNumId w:val="10"/>
  </w:num>
  <w:num w:numId="22" w16cid:durableId="1721663311">
    <w:abstractNumId w:val="10"/>
  </w:num>
  <w:num w:numId="23" w16cid:durableId="1927156231">
    <w:abstractNumId w:val="10"/>
  </w:num>
  <w:num w:numId="24" w16cid:durableId="6038103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B1"/>
    <w:rsid w:val="00003DC4"/>
    <w:rsid w:val="00005BC2"/>
    <w:rsid w:val="000168F2"/>
    <w:rsid w:val="0002799E"/>
    <w:rsid w:val="00040B07"/>
    <w:rsid w:val="00042942"/>
    <w:rsid w:val="000454AA"/>
    <w:rsid w:val="00052BC4"/>
    <w:rsid w:val="0006194A"/>
    <w:rsid w:val="0007342A"/>
    <w:rsid w:val="00082D33"/>
    <w:rsid w:val="00085A20"/>
    <w:rsid w:val="000879BD"/>
    <w:rsid w:val="000A1010"/>
    <w:rsid w:val="000A4EB4"/>
    <w:rsid w:val="000B2546"/>
    <w:rsid w:val="000B25BC"/>
    <w:rsid w:val="000B5308"/>
    <w:rsid w:val="000C2800"/>
    <w:rsid w:val="000C3080"/>
    <w:rsid w:val="000E6829"/>
    <w:rsid w:val="000F3A50"/>
    <w:rsid w:val="001012D7"/>
    <w:rsid w:val="001048B3"/>
    <w:rsid w:val="00106883"/>
    <w:rsid w:val="00106B6F"/>
    <w:rsid w:val="00112288"/>
    <w:rsid w:val="001140EF"/>
    <w:rsid w:val="00114E48"/>
    <w:rsid w:val="0012163F"/>
    <w:rsid w:val="00126B06"/>
    <w:rsid w:val="00127089"/>
    <w:rsid w:val="00131CE6"/>
    <w:rsid w:val="00134C1C"/>
    <w:rsid w:val="001418E9"/>
    <w:rsid w:val="00144262"/>
    <w:rsid w:val="00152DF6"/>
    <w:rsid w:val="00152E41"/>
    <w:rsid w:val="001540C6"/>
    <w:rsid w:val="00155124"/>
    <w:rsid w:val="001649F2"/>
    <w:rsid w:val="0016593A"/>
    <w:rsid w:val="0018437C"/>
    <w:rsid w:val="001922D2"/>
    <w:rsid w:val="001939D2"/>
    <w:rsid w:val="001A35F7"/>
    <w:rsid w:val="001B0AC6"/>
    <w:rsid w:val="001B686F"/>
    <w:rsid w:val="001C4337"/>
    <w:rsid w:val="001C46E8"/>
    <w:rsid w:val="001C7805"/>
    <w:rsid w:val="001D33AC"/>
    <w:rsid w:val="001D510C"/>
    <w:rsid w:val="001E1420"/>
    <w:rsid w:val="001E79FB"/>
    <w:rsid w:val="001F5311"/>
    <w:rsid w:val="001F5746"/>
    <w:rsid w:val="00207DD2"/>
    <w:rsid w:val="0021382F"/>
    <w:rsid w:val="00215C5D"/>
    <w:rsid w:val="002309E3"/>
    <w:rsid w:val="00231731"/>
    <w:rsid w:val="002411ED"/>
    <w:rsid w:val="00244F49"/>
    <w:rsid w:val="0025566B"/>
    <w:rsid w:val="002604D3"/>
    <w:rsid w:val="00264F08"/>
    <w:rsid w:val="00270E20"/>
    <w:rsid w:val="00272456"/>
    <w:rsid w:val="00276A2D"/>
    <w:rsid w:val="00282BF9"/>
    <w:rsid w:val="0028790C"/>
    <w:rsid w:val="002A2EF0"/>
    <w:rsid w:val="002A3FD2"/>
    <w:rsid w:val="002A6645"/>
    <w:rsid w:val="002B2AD9"/>
    <w:rsid w:val="002B6BA2"/>
    <w:rsid w:val="002B75C3"/>
    <w:rsid w:val="002C3FCA"/>
    <w:rsid w:val="002C6095"/>
    <w:rsid w:val="002C6E0B"/>
    <w:rsid w:val="002D1BA9"/>
    <w:rsid w:val="002D4650"/>
    <w:rsid w:val="002D4CB1"/>
    <w:rsid w:val="002E0333"/>
    <w:rsid w:val="002E11D6"/>
    <w:rsid w:val="002F3709"/>
    <w:rsid w:val="002F4450"/>
    <w:rsid w:val="002F4616"/>
    <w:rsid w:val="002F6B47"/>
    <w:rsid w:val="003016B9"/>
    <w:rsid w:val="003019FA"/>
    <w:rsid w:val="00303CCD"/>
    <w:rsid w:val="00305932"/>
    <w:rsid w:val="00323B7F"/>
    <w:rsid w:val="00327811"/>
    <w:rsid w:val="00327B26"/>
    <w:rsid w:val="00331297"/>
    <w:rsid w:val="0033478F"/>
    <w:rsid w:val="00343118"/>
    <w:rsid w:val="00343898"/>
    <w:rsid w:val="00343BE7"/>
    <w:rsid w:val="00344CB8"/>
    <w:rsid w:val="00347ED8"/>
    <w:rsid w:val="00350501"/>
    <w:rsid w:val="0035258C"/>
    <w:rsid w:val="00357F91"/>
    <w:rsid w:val="00362292"/>
    <w:rsid w:val="00371BAA"/>
    <w:rsid w:val="0038417F"/>
    <w:rsid w:val="00396B60"/>
    <w:rsid w:val="003A1903"/>
    <w:rsid w:val="003B08CA"/>
    <w:rsid w:val="003B5203"/>
    <w:rsid w:val="003C00C6"/>
    <w:rsid w:val="003C44E0"/>
    <w:rsid w:val="003C6417"/>
    <w:rsid w:val="003D64E8"/>
    <w:rsid w:val="003E2907"/>
    <w:rsid w:val="003E6D47"/>
    <w:rsid w:val="004132D3"/>
    <w:rsid w:val="00413D7E"/>
    <w:rsid w:val="0042127F"/>
    <w:rsid w:val="0042200F"/>
    <w:rsid w:val="00424DBA"/>
    <w:rsid w:val="0044022A"/>
    <w:rsid w:val="00445AC4"/>
    <w:rsid w:val="00451C5B"/>
    <w:rsid w:val="004531B2"/>
    <w:rsid w:val="00453BA0"/>
    <w:rsid w:val="00454891"/>
    <w:rsid w:val="00456930"/>
    <w:rsid w:val="00463BD0"/>
    <w:rsid w:val="0047506E"/>
    <w:rsid w:val="0048612C"/>
    <w:rsid w:val="00490084"/>
    <w:rsid w:val="004963A4"/>
    <w:rsid w:val="00497B9C"/>
    <w:rsid w:val="004A2572"/>
    <w:rsid w:val="004A5B39"/>
    <w:rsid w:val="004B0EA7"/>
    <w:rsid w:val="004B29FE"/>
    <w:rsid w:val="004B6B8E"/>
    <w:rsid w:val="004D3B25"/>
    <w:rsid w:val="004E031A"/>
    <w:rsid w:val="004E4B0A"/>
    <w:rsid w:val="004F475F"/>
    <w:rsid w:val="004F5E96"/>
    <w:rsid w:val="0050704E"/>
    <w:rsid w:val="005103FA"/>
    <w:rsid w:val="005125CF"/>
    <w:rsid w:val="005152EA"/>
    <w:rsid w:val="005204DA"/>
    <w:rsid w:val="00526A21"/>
    <w:rsid w:val="0054065F"/>
    <w:rsid w:val="005462D6"/>
    <w:rsid w:val="00553218"/>
    <w:rsid w:val="005662FB"/>
    <w:rsid w:val="00567DF1"/>
    <w:rsid w:val="0057335D"/>
    <w:rsid w:val="005828A6"/>
    <w:rsid w:val="00585027"/>
    <w:rsid w:val="005857FB"/>
    <w:rsid w:val="0059069B"/>
    <w:rsid w:val="00593410"/>
    <w:rsid w:val="00595559"/>
    <w:rsid w:val="005A2757"/>
    <w:rsid w:val="005A3B87"/>
    <w:rsid w:val="005B664A"/>
    <w:rsid w:val="005E23CA"/>
    <w:rsid w:val="005E715A"/>
    <w:rsid w:val="005E7973"/>
    <w:rsid w:val="005F1ADA"/>
    <w:rsid w:val="005F3443"/>
    <w:rsid w:val="00606533"/>
    <w:rsid w:val="00607E17"/>
    <w:rsid w:val="0062483E"/>
    <w:rsid w:val="00625060"/>
    <w:rsid w:val="0062669A"/>
    <w:rsid w:val="006321D1"/>
    <w:rsid w:val="006342DB"/>
    <w:rsid w:val="00636A3E"/>
    <w:rsid w:val="00636EB4"/>
    <w:rsid w:val="00641C3E"/>
    <w:rsid w:val="00643E59"/>
    <w:rsid w:val="006474B4"/>
    <w:rsid w:val="00650442"/>
    <w:rsid w:val="00652724"/>
    <w:rsid w:val="00654528"/>
    <w:rsid w:val="0065673B"/>
    <w:rsid w:val="0066576E"/>
    <w:rsid w:val="0066672D"/>
    <w:rsid w:val="00672CF8"/>
    <w:rsid w:val="00674B2C"/>
    <w:rsid w:val="006752DA"/>
    <w:rsid w:val="006810B9"/>
    <w:rsid w:val="00681274"/>
    <w:rsid w:val="0068537D"/>
    <w:rsid w:val="00696C0B"/>
    <w:rsid w:val="006A047C"/>
    <w:rsid w:val="006A5ACA"/>
    <w:rsid w:val="006A7064"/>
    <w:rsid w:val="006B009A"/>
    <w:rsid w:val="006B733B"/>
    <w:rsid w:val="006C2344"/>
    <w:rsid w:val="006C6567"/>
    <w:rsid w:val="006D4EFD"/>
    <w:rsid w:val="006F1B4D"/>
    <w:rsid w:val="006F4567"/>
    <w:rsid w:val="00702970"/>
    <w:rsid w:val="007053E0"/>
    <w:rsid w:val="0072151A"/>
    <w:rsid w:val="00730733"/>
    <w:rsid w:val="00732BDE"/>
    <w:rsid w:val="00733A04"/>
    <w:rsid w:val="00734901"/>
    <w:rsid w:val="00734E22"/>
    <w:rsid w:val="0073660A"/>
    <w:rsid w:val="007435EF"/>
    <w:rsid w:val="00751FA8"/>
    <w:rsid w:val="00752758"/>
    <w:rsid w:val="00753460"/>
    <w:rsid w:val="00762DF7"/>
    <w:rsid w:val="007813EC"/>
    <w:rsid w:val="00783E10"/>
    <w:rsid w:val="00786078"/>
    <w:rsid w:val="00786200"/>
    <w:rsid w:val="00786838"/>
    <w:rsid w:val="0079358A"/>
    <w:rsid w:val="00796F46"/>
    <w:rsid w:val="007A039F"/>
    <w:rsid w:val="007B1685"/>
    <w:rsid w:val="007B1C54"/>
    <w:rsid w:val="007B21F4"/>
    <w:rsid w:val="007D7A39"/>
    <w:rsid w:val="007E43DC"/>
    <w:rsid w:val="007F2602"/>
    <w:rsid w:val="007F4244"/>
    <w:rsid w:val="007F7D58"/>
    <w:rsid w:val="008021AE"/>
    <w:rsid w:val="00833EC6"/>
    <w:rsid w:val="0084450B"/>
    <w:rsid w:val="00846859"/>
    <w:rsid w:val="00851CC0"/>
    <w:rsid w:val="0085284E"/>
    <w:rsid w:val="00863B9C"/>
    <w:rsid w:val="008643C5"/>
    <w:rsid w:val="00866EC9"/>
    <w:rsid w:val="00874C84"/>
    <w:rsid w:val="0087622E"/>
    <w:rsid w:val="00891529"/>
    <w:rsid w:val="00897A7F"/>
    <w:rsid w:val="00897FAB"/>
    <w:rsid w:val="008A0C65"/>
    <w:rsid w:val="008A2069"/>
    <w:rsid w:val="008C4FB4"/>
    <w:rsid w:val="008C7291"/>
    <w:rsid w:val="008D47E3"/>
    <w:rsid w:val="008D6B8D"/>
    <w:rsid w:val="008D7BAA"/>
    <w:rsid w:val="008E44ED"/>
    <w:rsid w:val="008E634F"/>
    <w:rsid w:val="008E7FDA"/>
    <w:rsid w:val="008F621F"/>
    <w:rsid w:val="0091118D"/>
    <w:rsid w:val="00921C30"/>
    <w:rsid w:val="00922E19"/>
    <w:rsid w:val="00927A53"/>
    <w:rsid w:val="00931C91"/>
    <w:rsid w:val="00950FCC"/>
    <w:rsid w:val="0095437A"/>
    <w:rsid w:val="00960272"/>
    <w:rsid w:val="0096255C"/>
    <w:rsid w:val="0096544E"/>
    <w:rsid w:val="00965833"/>
    <w:rsid w:val="00973152"/>
    <w:rsid w:val="00976F9C"/>
    <w:rsid w:val="00984C90"/>
    <w:rsid w:val="0098649A"/>
    <w:rsid w:val="009937DC"/>
    <w:rsid w:val="009965F2"/>
    <w:rsid w:val="009A4F81"/>
    <w:rsid w:val="009B060B"/>
    <w:rsid w:val="009B0CB5"/>
    <w:rsid w:val="009B1588"/>
    <w:rsid w:val="009B4A3D"/>
    <w:rsid w:val="009C0C76"/>
    <w:rsid w:val="009C4105"/>
    <w:rsid w:val="009E541B"/>
    <w:rsid w:val="009E6EB6"/>
    <w:rsid w:val="009F074D"/>
    <w:rsid w:val="009F10A8"/>
    <w:rsid w:val="009F16D9"/>
    <w:rsid w:val="009F4E55"/>
    <w:rsid w:val="009F571A"/>
    <w:rsid w:val="00A04981"/>
    <w:rsid w:val="00A072A0"/>
    <w:rsid w:val="00A07A2E"/>
    <w:rsid w:val="00A07CFA"/>
    <w:rsid w:val="00A13B4C"/>
    <w:rsid w:val="00A45550"/>
    <w:rsid w:val="00A4739F"/>
    <w:rsid w:val="00A51360"/>
    <w:rsid w:val="00A519B2"/>
    <w:rsid w:val="00A53034"/>
    <w:rsid w:val="00A531E2"/>
    <w:rsid w:val="00A577F9"/>
    <w:rsid w:val="00A61221"/>
    <w:rsid w:val="00A62E97"/>
    <w:rsid w:val="00A71541"/>
    <w:rsid w:val="00A72EFA"/>
    <w:rsid w:val="00A90310"/>
    <w:rsid w:val="00A974CF"/>
    <w:rsid w:val="00AA2F52"/>
    <w:rsid w:val="00AB18B7"/>
    <w:rsid w:val="00AC35FF"/>
    <w:rsid w:val="00AD2157"/>
    <w:rsid w:val="00AD4051"/>
    <w:rsid w:val="00AE3ECD"/>
    <w:rsid w:val="00AE4DFB"/>
    <w:rsid w:val="00AF3543"/>
    <w:rsid w:val="00AF3E49"/>
    <w:rsid w:val="00AF4D8C"/>
    <w:rsid w:val="00B00970"/>
    <w:rsid w:val="00B04CFF"/>
    <w:rsid w:val="00B132BB"/>
    <w:rsid w:val="00B142A0"/>
    <w:rsid w:val="00B157E4"/>
    <w:rsid w:val="00B414E7"/>
    <w:rsid w:val="00B46582"/>
    <w:rsid w:val="00B466FC"/>
    <w:rsid w:val="00B50452"/>
    <w:rsid w:val="00B5221A"/>
    <w:rsid w:val="00B55C85"/>
    <w:rsid w:val="00B83CAB"/>
    <w:rsid w:val="00B852C9"/>
    <w:rsid w:val="00B85930"/>
    <w:rsid w:val="00B86801"/>
    <w:rsid w:val="00B86A99"/>
    <w:rsid w:val="00B92B1F"/>
    <w:rsid w:val="00B93BD8"/>
    <w:rsid w:val="00B94B5B"/>
    <w:rsid w:val="00BB1BEB"/>
    <w:rsid w:val="00BB2A68"/>
    <w:rsid w:val="00BC1D44"/>
    <w:rsid w:val="00BD0C4B"/>
    <w:rsid w:val="00BE1E92"/>
    <w:rsid w:val="00BE5F57"/>
    <w:rsid w:val="00BF0BB2"/>
    <w:rsid w:val="00BF1B1A"/>
    <w:rsid w:val="00BF6A2D"/>
    <w:rsid w:val="00BF7759"/>
    <w:rsid w:val="00C15BAB"/>
    <w:rsid w:val="00C16F6A"/>
    <w:rsid w:val="00C217FC"/>
    <w:rsid w:val="00C22BBE"/>
    <w:rsid w:val="00C453D7"/>
    <w:rsid w:val="00C52476"/>
    <w:rsid w:val="00C5312F"/>
    <w:rsid w:val="00C53827"/>
    <w:rsid w:val="00C57D14"/>
    <w:rsid w:val="00C6560C"/>
    <w:rsid w:val="00C65AED"/>
    <w:rsid w:val="00C7374C"/>
    <w:rsid w:val="00C76AEC"/>
    <w:rsid w:val="00C76FB2"/>
    <w:rsid w:val="00C77170"/>
    <w:rsid w:val="00C830AE"/>
    <w:rsid w:val="00CA0006"/>
    <w:rsid w:val="00CA4296"/>
    <w:rsid w:val="00CA5B1C"/>
    <w:rsid w:val="00CB2FD2"/>
    <w:rsid w:val="00CB5C5D"/>
    <w:rsid w:val="00CC231D"/>
    <w:rsid w:val="00CE0521"/>
    <w:rsid w:val="00CF650E"/>
    <w:rsid w:val="00D1068B"/>
    <w:rsid w:val="00D177BE"/>
    <w:rsid w:val="00D21755"/>
    <w:rsid w:val="00D24C65"/>
    <w:rsid w:val="00D24D97"/>
    <w:rsid w:val="00D266D5"/>
    <w:rsid w:val="00D26F96"/>
    <w:rsid w:val="00D27387"/>
    <w:rsid w:val="00D32EC3"/>
    <w:rsid w:val="00D346C4"/>
    <w:rsid w:val="00D44351"/>
    <w:rsid w:val="00D46C9E"/>
    <w:rsid w:val="00D52283"/>
    <w:rsid w:val="00D5503B"/>
    <w:rsid w:val="00D56BDE"/>
    <w:rsid w:val="00D61EFE"/>
    <w:rsid w:val="00D63654"/>
    <w:rsid w:val="00D664CF"/>
    <w:rsid w:val="00D77AB4"/>
    <w:rsid w:val="00D80FB1"/>
    <w:rsid w:val="00D851B3"/>
    <w:rsid w:val="00D91434"/>
    <w:rsid w:val="00D96169"/>
    <w:rsid w:val="00D96E77"/>
    <w:rsid w:val="00DA23C9"/>
    <w:rsid w:val="00DA364D"/>
    <w:rsid w:val="00DC3055"/>
    <w:rsid w:val="00DC61DD"/>
    <w:rsid w:val="00DD3902"/>
    <w:rsid w:val="00DD4AC8"/>
    <w:rsid w:val="00DE0709"/>
    <w:rsid w:val="00DE25FA"/>
    <w:rsid w:val="00DF4DBB"/>
    <w:rsid w:val="00E01BEC"/>
    <w:rsid w:val="00E05C59"/>
    <w:rsid w:val="00E25458"/>
    <w:rsid w:val="00E26D2D"/>
    <w:rsid w:val="00E31C2F"/>
    <w:rsid w:val="00E32EE6"/>
    <w:rsid w:val="00E364B1"/>
    <w:rsid w:val="00E42E29"/>
    <w:rsid w:val="00E523DB"/>
    <w:rsid w:val="00E52F2E"/>
    <w:rsid w:val="00E54F71"/>
    <w:rsid w:val="00E710D5"/>
    <w:rsid w:val="00E71344"/>
    <w:rsid w:val="00E83E2D"/>
    <w:rsid w:val="00E861A9"/>
    <w:rsid w:val="00E93CFB"/>
    <w:rsid w:val="00E9413E"/>
    <w:rsid w:val="00E9471F"/>
    <w:rsid w:val="00E97150"/>
    <w:rsid w:val="00EA7F3F"/>
    <w:rsid w:val="00EB7DFF"/>
    <w:rsid w:val="00EC072E"/>
    <w:rsid w:val="00EC3781"/>
    <w:rsid w:val="00EC5C2C"/>
    <w:rsid w:val="00EC7E03"/>
    <w:rsid w:val="00ED0891"/>
    <w:rsid w:val="00ED17D1"/>
    <w:rsid w:val="00ED1EFC"/>
    <w:rsid w:val="00ED2641"/>
    <w:rsid w:val="00ED6252"/>
    <w:rsid w:val="00EE0F82"/>
    <w:rsid w:val="00EE1F01"/>
    <w:rsid w:val="00EE2CDF"/>
    <w:rsid w:val="00F04C91"/>
    <w:rsid w:val="00F06230"/>
    <w:rsid w:val="00F07FC3"/>
    <w:rsid w:val="00F25AFB"/>
    <w:rsid w:val="00F327BB"/>
    <w:rsid w:val="00F343D8"/>
    <w:rsid w:val="00F52B97"/>
    <w:rsid w:val="00F56A2E"/>
    <w:rsid w:val="00F7387F"/>
    <w:rsid w:val="00F77625"/>
    <w:rsid w:val="00F80298"/>
    <w:rsid w:val="00F803F5"/>
    <w:rsid w:val="00F91F91"/>
    <w:rsid w:val="00F94C9F"/>
    <w:rsid w:val="00FA55D6"/>
    <w:rsid w:val="00FA6B3E"/>
    <w:rsid w:val="00FA6EAC"/>
    <w:rsid w:val="00FB56F0"/>
    <w:rsid w:val="00FC50B8"/>
    <w:rsid w:val="00FC70AE"/>
    <w:rsid w:val="00FD17FE"/>
    <w:rsid w:val="00FD3A36"/>
    <w:rsid w:val="00FD5541"/>
    <w:rsid w:val="00FE5CCC"/>
    <w:rsid w:val="00FE7621"/>
    <w:rsid w:val="00FF65F3"/>
    <w:rsid w:val="00FF72C5"/>
    <w:rsid w:val="016B668A"/>
    <w:rsid w:val="0389DF96"/>
    <w:rsid w:val="0451913E"/>
    <w:rsid w:val="0477A988"/>
    <w:rsid w:val="06A26CE0"/>
    <w:rsid w:val="074D2573"/>
    <w:rsid w:val="076C869B"/>
    <w:rsid w:val="09C77CF1"/>
    <w:rsid w:val="09D61F34"/>
    <w:rsid w:val="0AC3DBEA"/>
    <w:rsid w:val="0AE50505"/>
    <w:rsid w:val="0AFEBDAB"/>
    <w:rsid w:val="0C2600CC"/>
    <w:rsid w:val="0CE2E763"/>
    <w:rsid w:val="0D70FB69"/>
    <w:rsid w:val="0F2B3AF4"/>
    <w:rsid w:val="0FD9A3CD"/>
    <w:rsid w:val="10998AA6"/>
    <w:rsid w:val="11B2CE2B"/>
    <w:rsid w:val="12EBCFBA"/>
    <w:rsid w:val="133EF0E9"/>
    <w:rsid w:val="14FCB79D"/>
    <w:rsid w:val="1673CBA7"/>
    <w:rsid w:val="189BA1DB"/>
    <w:rsid w:val="189FC990"/>
    <w:rsid w:val="19179BE4"/>
    <w:rsid w:val="1B1530AC"/>
    <w:rsid w:val="1D1E077B"/>
    <w:rsid w:val="1DBC3D1E"/>
    <w:rsid w:val="1EA2EA94"/>
    <w:rsid w:val="1FFB363B"/>
    <w:rsid w:val="200191D6"/>
    <w:rsid w:val="211E44CD"/>
    <w:rsid w:val="2181F25C"/>
    <w:rsid w:val="21EEC63D"/>
    <w:rsid w:val="21F81FA1"/>
    <w:rsid w:val="225E8346"/>
    <w:rsid w:val="22A4F2AD"/>
    <w:rsid w:val="22E33979"/>
    <w:rsid w:val="26EC873C"/>
    <w:rsid w:val="27AF83D0"/>
    <w:rsid w:val="2A09FB5D"/>
    <w:rsid w:val="2A6CC8A9"/>
    <w:rsid w:val="2C13A9DE"/>
    <w:rsid w:val="2D2D2994"/>
    <w:rsid w:val="2E7AB278"/>
    <w:rsid w:val="2ED5D09C"/>
    <w:rsid w:val="301CFE7B"/>
    <w:rsid w:val="339A83C0"/>
    <w:rsid w:val="33A625EC"/>
    <w:rsid w:val="35666011"/>
    <w:rsid w:val="371AE095"/>
    <w:rsid w:val="378A2556"/>
    <w:rsid w:val="3ABE2AC3"/>
    <w:rsid w:val="3B076DDD"/>
    <w:rsid w:val="3B4C88D1"/>
    <w:rsid w:val="3D689373"/>
    <w:rsid w:val="3E699B68"/>
    <w:rsid w:val="3EF116AF"/>
    <w:rsid w:val="41C455D5"/>
    <w:rsid w:val="426A1AD3"/>
    <w:rsid w:val="42EA5940"/>
    <w:rsid w:val="435FF925"/>
    <w:rsid w:val="44A3F6F2"/>
    <w:rsid w:val="4538D618"/>
    <w:rsid w:val="461F40A3"/>
    <w:rsid w:val="49B14EB5"/>
    <w:rsid w:val="4B2A0441"/>
    <w:rsid w:val="4BD595E0"/>
    <w:rsid w:val="4BF16979"/>
    <w:rsid w:val="4C67E4D7"/>
    <w:rsid w:val="4C7C91A5"/>
    <w:rsid w:val="4E55F323"/>
    <w:rsid w:val="4F42B502"/>
    <w:rsid w:val="4F5E1B4B"/>
    <w:rsid w:val="4FCA5B36"/>
    <w:rsid w:val="4FEEFAF9"/>
    <w:rsid w:val="50F7F2A2"/>
    <w:rsid w:val="52259FE0"/>
    <w:rsid w:val="525D9B3B"/>
    <w:rsid w:val="52DFC3C1"/>
    <w:rsid w:val="53791758"/>
    <w:rsid w:val="54C37B16"/>
    <w:rsid w:val="569893BD"/>
    <w:rsid w:val="596DAAB4"/>
    <w:rsid w:val="59DE59BD"/>
    <w:rsid w:val="5A35926B"/>
    <w:rsid w:val="5A362B1A"/>
    <w:rsid w:val="5CCCD84D"/>
    <w:rsid w:val="5CEE6FF9"/>
    <w:rsid w:val="5EA44A2F"/>
    <w:rsid w:val="5EBB1DC8"/>
    <w:rsid w:val="5FD9C912"/>
    <w:rsid w:val="609D78F5"/>
    <w:rsid w:val="60BE71A4"/>
    <w:rsid w:val="62EE5D22"/>
    <w:rsid w:val="6439B8C2"/>
    <w:rsid w:val="66C7C54C"/>
    <w:rsid w:val="6846E633"/>
    <w:rsid w:val="69D5EC0B"/>
    <w:rsid w:val="6B0A6A20"/>
    <w:rsid w:val="6B43B830"/>
    <w:rsid w:val="6FA27000"/>
    <w:rsid w:val="7143883E"/>
    <w:rsid w:val="7166D779"/>
    <w:rsid w:val="73CCD6CD"/>
    <w:rsid w:val="746E8BF8"/>
    <w:rsid w:val="767D7B40"/>
    <w:rsid w:val="787A878D"/>
    <w:rsid w:val="78A63F2A"/>
    <w:rsid w:val="7CB2A931"/>
    <w:rsid w:val="7D803C4C"/>
    <w:rsid w:val="7D80DD7C"/>
    <w:rsid w:val="7DA499EA"/>
    <w:rsid w:val="7DF04B94"/>
    <w:rsid w:val="7E156805"/>
    <w:rsid w:val="7E51CDC9"/>
    <w:rsid w:val="7E717377"/>
    <w:rsid w:val="7F566F82"/>
    <w:rsid w:val="7FD73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8921F"/>
  <w15:docId w15:val="{DE40F961-6B4F-48E3-B10A-DA5402DE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lsdException w:name="heading 4" w:uiPriority="0" w:qFormat="1"/>
    <w:lsdException w:name="heading 5" w:uiPriority="0" w:qFormat="1"/>
    <w:lsdException w:name="heading 6" w:uiPriority="0"/>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2EE6"/>
    <w:pPr>
      <w:suppressAutoHyphens/>
      <w:spacing w:before="120" w:after="60"/>
    </w:pPr>
    <w:rPr>
      <w:rFonts w:ascii="Tahoma" w:hAnsi="Tahoma" w:cs="Tahoma"/>
      <w:sz w:val="22"/>
      <w:szCs w:val="22"/>
    </w:rPr>
  </w:style>
  <w:style w:type="paragraph" w:styleId="Heading1">
    <w:name w:val="heading 1"/>
    <w:aliases w:val="Heading 1a"/>
    <w:basedOn w:val="Normal"/>
    <w:next w:val="Normal"/>
    <w:link w:val="Heading1Char"/>
    <w:autoRedefine/>
    <w:qFormat/>
    <w:rsid w:val="00F91F91"/>
    <w:pPr>
      <w:numPr>
        <w:numId w:val="12"/>
      </w:numPr>
      <w:overflowPunct w:val="0"/>
      <w:autoSpaceDE w:val="0"/>
      <w:autoSpaceDN w:val="0"/>
      <w:adjustRightInd w:val="0"/>
      <w:ind w:right="72"/>
      <w:textAlignment w:val="baseline"/>
      <w:outlineLvl w:val="0"/>
    </w:pPr>
    <w:rPr>
      <w:b/>
      <w:color w:val="000000"/>
    </w:rPr>
  </w:style>
  <w:style w:type="paragraph" w:styleId="Heading2">
    <w:name w:val="heading 2"/>
    <w:aliases w:val="Heading 2a"/>
    <w:basedOn w:val="Normal"/>
    <w:next w:val="Normal"/>
    <w:link w:val="Heading2Char"/>
    <w:autoRedefine/>
    <w:qFormat/>
    <w:rsid w:val="00D346C4"/>
    <w:pPr>
      <w:numPr>
        <w:ilvl w:val="1"/>
        <w:numId w:val="12"/>
      </w:numPr>
      <w:overflowPunct w:val="0"/>
      <w:autoSpaceDE w:val="0"/>
      <w:autoSpaceDN w:val="0"/>
      <w:adjustRightInd w:val="0"/>
      <w:ind w:left="638" w:hanging="630"/>
      <w:textAlignment w:val="baseline"/>
      <w:outlineLvl w:val="1"/>
    </w:pPr>
    <w:rPr>
      <w:rFonts w:cs="Arial"/>
    </w:rPr>
  </w:style>
  <w:style w:type="paragraph" w:styleId="Heading3">
    <w:name w:val="heading 3"/>
    <w:aliases w:val="Plain Header"/>
    <w:basedOn w:val="Heading2"/>
    <w:next w:val="Normal"/>
    <w:autoRedefine/>
    <w:rsid w:val="00A13B4C"/>
    <w:pPr>
      <w:numPr>
        <w:ilvl w:val="2"/>
        <w:numId w:val="0"/>
      </w:numPr>
      <w:tabs>
        <w:tab w:val="num" w:pos="0"/>
        <w:tab w:val="left" w:pos="2340"/>
      </w:tabs>
      <w:ind w:left="1710"/>
      <w:outlineLvl w:val="2"/>
    </w:pPr>
    <w:rPr>
      <w:b/>
    </w:rPr>
  </w:style>
  <w:style w:type="paragraph" w:styleId="Heading4">
    <w:name w:val="heading 4"/>
    <w:aliases w:val="Heading 3a"/>
    <w:basedOn w:val="Normal"/>
    <w:next w:val="Normal"/>
    <w:link w:val="Heading4Char"/>
    <w:autoRedefine/>
    <w:qFormat/>
    <w:rsid w:val="0066672D"/>
    <w:pPr>
      <w:numPr>
        <w:ilvl w:val="2"/>
        <w:numId w:val="12"/>
      </w:numPr>
      <w:tabs>
        <w:tab w:val="left" w:pos="2070"/>
      </w:tabs>
      <w:suppressAutoHyphens w:val="0"/>
      <w:overflowPunct w:val="0"/>
      <w:autoSpaceDE w:val="0"/>
      <w:autoSpaceDN w:val="0"/>
      <w:adjustRightInd w:val="0"/>
      <w:ind w:left="2070" w:hanging="900"/>
      <w:textAlignment w:val="baseline"/>
      <w:outlineLvl w:val="3"/>
    </w:pPr>
  </w:style>
  <w:style w:type="paragraph" w:styleId="Heading5">
    <w:name w:val="heading 5"/>
    <w:aliases w:val="Heading 4a"/>
    <w:basedOn w:val="Normal"/>
    <w:next w:val="Normal"/>
    <w:link w:val="Heading5Char"/>
    <w:autoRedefine/>
    <w:qFormat/>
    <w:rsid w:val="00C76AEC"/>
    <w:pPr>
      <w:numPr>
        <w:ilvl w:val="3"/>
        <w:numId w:val="12"/>
      </w:numPr>
      <w:tabs>
        <w:tab w:val="left" w:pos="3150"/>
      </w:tabs>
      <w:overflowPunct w:val="0"/>
      <w:autoSpaceDE w:val="0"/>
      <w:autoSpaceDN w:val="0"/>
      <w:adjustRightInd w:val="0"/>
      <w:ind w:left="2970"/>
      <w:textAlignment w:val="baseline"/>
      <w:outlineLvl w:val="4"/>
    </w:pPr>
  </w:style>
  <w:style w:type="paragraph" w:styleId="Heading6">
    <w:name w:val="heading 6"/>
    <w:aliases w:val="Heading 5a"/>
    <w:basedOn w:val="Heading5"/>
    <w:next w:val="Normal"/>
    <w:link w:val="Heading6Char"/>
    <w:rsid w:val="0098649A"/>
    <w:pPr>
      <w:outlineLvl w:val="5"/>
    </w:pPr>
  </w:style>
  <w:style w:type="paragraph" w:styleId="Heading7">
    <w:name w:val="heading 7"/>
    <w:basedOn w:val="Normal"/>
    <w:next w:val="Normal"/>
    <w:qFormat/>
    <w:rsid w:val="00E32EE6"/>
    <w:pPr>
      <w:numPr>
        <w:ilvl w:val="6"/>
        <w:numId w:val="12"/>
      </w:numPr>
      <w:overflowPunct w:val="0"/>
      <w:autoSpaceDE w:val="0"/>
      <w:autoSpaceDN w:val="0"/>
      <w:adjustRightInd w:val="0"/>
      <w:spacing w:before="240"/>
      <w:textAlignment w:val="baseline"/>
      <w:outlineLvl w:val="6"/>
    </w:pPr>
    <w:rPr>
      <w:rFonts w:ascii="Helvetica" w:hAnsi="Helvetica"/>
    </w:rPr>
  </w:style>
  <w:style w:type="paragraph" w:styleId="Heading8">
    <w:name w:val="heading 8"/>
    <w:basedOn w:val="Normal"/>
    <w:next w:val="Normal"/>
    <w:qFormat/>
    <w:rsid w:val="00E32EE6"/>
    <w:pPr>
      <w:numPr>
        <w:ilvl w:val="7"/>
        <w:numId w:val="12"/>
      </w:numPr>
      <w:overflowPunct w:val="0"/>
      <w:autoSpaceDE w:val="0"/>
      <w:autoSpaceDN w:val="0"/>
      <w:adjustRightInd w:val="0"/>
      <w:spacing w:before="240"/>
      <w:textAlignment w:val="baseline"/>
      <w:outlineLvl w:val="7"/>
    </w:pPr>
    <w:rPr>
      <w:rFonts w:ascii="Helvetica" w:hAnsi="Helvetica"/>
      <w:i/>
    </w:rPr>
  </w:style>
  <w:style w:type="paragraph" w:styleId="Heading9">
    <w:name w:val="heading 9"/>
    <w:basedOn w:val="Normal"/>
    <w:next w:val="Normal"/>
    <w:qFormat/>
    <w:rsid w:val="00E32EE6"/>
    <w:pPr>
      <w:numPr>
        <w:ilvl w:val="8"/>
        <w:numId w:val="12"/>
      </w:numPr>
      <w:overflowPunct w:val="0"/>
      <w:autoSpaceDE w:val="0"/>
      <w:autoSpaceDN w:val="0"/>
      <w:adjustRightInd w:val="0"/>
      <w:spacing w:before="240"/>
      <w:textAlignment w:val="baseline"/>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laimer">
    <w:name w:val="disclaimer"/>
    <w:rsid w:val="00E32EE6"/>
    <w:pPr>
      <w:tabs>
        <w:tab w:val="left" w:pos="0"/>
        <w:tab w:val="left" w:pos="680"/>
        <w:tab w:val="left" w:pos="1417"/>
        <w:tab w:val="left" w:pos="2268"/>
      </w:tabs>
      <w:spacing w:before="138" w:after="57" w:line="159" w:lineRule="atLeast"/>
      <w:jc w:val="center"/>
    </w:pPr>
    <w:rPr>
      <w:rFonts w:ascii="Helvetica" w:hAnsi="Helvetica"/>
      <w:i/>
      <w:snapToGrid w:val="0"/>
      <w:sz w:val="12"/>
    </w:rPr>
  </w:style>
  <w:style w:type="paragraph" w:customStyle="1" w:styleId="figtitle">
    <w:name w:val="figtitle"/>
    <w:rsid w:val="00E32EE6"/>
    <w:pPr>
      <w:keepLines/>
      <w:tabs>
        <w:tab w:val="left" w:pos="0"/>
        <w:tab w:val="left" w:pos="1440"/>
        <w:tab w:val="left" w:pos="2880"/>
        <w:tab w:val="left" w:pos="4320"/>
      </w:tabs>
      <w:spacing w:after="288" w:line="280" w:lineRule="atLeast"/>
      <w:jc w:val="center"/>
    </w:pPr>
    <w:rPr>
      <w:rFonts w:ascii="Helvetica" w:hAnsi="Helvetica"/>
      <w:b/>
      <w:snapToGrid w:val="0"/>
      <w:sz w:val="24"/>
    </w:rPr>
  </w:style>
  <w:style w:type="paragraph" w:customStyle="1" w:styleId="graphic">
    <w:name w:val="graphic"/>
    <w:rsid w:val="00E32EE6"/>
    <w:pPr>
      <w:tabs>
        <w:tab w:val="left" w:pos="0"/>
        <w:tab w:val="left" w:pos="1440"/>
        <w:tab w:val="left" w:pos="2880"/>
        <w:tab w:val="left" w:pos="4320"/>
      </w:tabs>
      <w:spacing w:after="115" w:line="280" w:lineRule="atLeast"/>
      <w:jc w:val="center"/>
    </w:pPr>
    <w:rPr>
      <w:rFonts w:ascii="Helvetica" w:hAnsi="Helvetica"/>
      <w:snapToGrid w:val="0"/>
      <w:sz w:val="24"/>
    </w:rPr>
  </w:style>
  <w:style w:type="paragraph" w:customStyle="1" w:styleId="Appendix">
    <w:name w:val="Appendix"/>
    <w:autoRedefine/>
    <w:rsid w:val="00E32EE6"/>
    <w:pPr>
      <w:spacing w:after="38" w:line="399" w:lineRule="atLeast"/>
      <w:ind w:right="490"/>
      <w:jc w:val="center"/>
    </w:pPr>
    <w:rPr>
      <w:rFonts w:ascii="Helvetica" w:hAnsi="Helvetica"/>
      <w:b/>
      <w:snapToGrid w:val="0"/>
      <w:sz w:val="32"/>
    </w:rPr>
  </w:style>
  <w:style w:type="paragraph" w:customStyle="1" w:styleId="tabletitle">
    <w:name w:val="tabletitle"/>
    <w:rsid w:val="00E32EE6"/>
    <w:pPr>
      <w:keepNext/>
      <w:keepLines/>
      <w:tabs>
        <w:tab w:val="left" w:pos="0"/>
        <w:tab w:val="left" w:pos="1440"/>
        <w:tab w:val="left" w:pos="2880"/>
        <w:tab w:val="left" w:pos="4320"/>
      </w:tabs>
      <w:spacing w:after="58" w:line="280" w:lineRule="atLeast"/>
      <w:jc w:val="center"/>
    </w:pPr>
    <w:rPr>
      <w:rFonts w:ascii="Helvetica" w:hAnsi="Helvetica"/>
      <w:b/>
      <w:snapToGrid w:val="0"/>
      <w:sz w:val="24"/>
    </w:rPr>
  </w:style>
  <w:style w:type="paragraph" w:styleId="Footer">
    <w:name w:val="footer"/>
    <w:basedOn w:val="Normal"/>
    <w:rsid w:val="00E32EE6"/>
    <w:pPr>
      <w:tabs>
        <w:tab w:val="center" w:pos="4320"/>
        <w:tab w:val="right" w:pos="8640"/>
      </w:tabs>
    </w:pPr>
  </w:style>
  <w:style w:type="paragraph" w:styleId="BalloonText">
    <w:name w:val="Balloon Text"/>
    <w:basedOn w:val="Normal"/>
    <w:semiHidden/>
    <w:rsid w:val="00E32EE6"/>
    <w:rPr>
      <w:sz w:val="16"/>
      <w:szCs w:val="16"/>
    </w:rPr>
  </w:style>
  <w:style w:type="character" w:styleId="Hyperlink">
    <w:name w:val="Hyperlink"/>
    <w:basedOn w:val="DefaultParagraphFont"/>
    <w:rsid w:val="00E32EE6"/>
    <w:rPr>
      <w:color w:val="0000FF"/>
      <w:u w:val="single"/>
    </w:rPr>
  </w:style>
  <w:style w:type="character" w:styleId="FollowedHyperlink">
    <w:name w:val="FollowedHyperlink"/>
    <w:basedOn w:val="DefaultParagraphFont"/>
    <w:rsid w:val="00E32EE6"/>
    <w:rPr>
      <w:color w:val="800080"/>
      <w:u w:val="single"/>
    </w:rPr>
  </w:style>
  <w:style w:type="paragraph" w:styleId="Header">
    <w:name w:val="header"/>
    <w:basedOn w:val="Normal"/>
    <w:rsid w:val="00E32EE6"/>
    <w:pPr>
      <w:tabs>
        <w:tab w:val="center" w:pos="4320"/>
        <w:tab w:val="right" w:pos="8640"/>
      </w:tabs>
    </w:pPr>
  </w:style>
  <w:style w:type="paragraph" w:styleId="BodyTextIndent">
    <w:name w:val="Body Text Indent"/>
    <w:basedOn w:val="Normal"/>
    <w:rsid w:val="00E32EE6"/>
    <w:pPr>
      <w:ind w:left="1440"/>
    </w:pPr>
  </w:style>
  <w:style w:type="paragraph" w:styleId="BodyTextIndent2">
    <w:name w:val="Body Text Indent 2"/>
    <w:basedOn w:val="Normal"/>
    <w:rsid w:val="00E32EE6"/>
    <w:pPr>
      <w:ind w:left="90"/>
    </w:pPr>
    <w:rPr>
      <w:rFonts w:cs="Arial"/>
    </w:rPr>
  </w:style>
  <w:style w:type="paragraph" w:customStyle="1" w:styleId="DefinitionHeading1">
    <w:name w:val="Definition Heading 1"/>
    <w:basedOn w:val="Heading2"/>
    <w:next w:val="Heading1"/>
    <w:rsid w:val="00E32EE6"/>
  </w:style>
  <w:style w:type="character" w:styleId="PageNumber">
    <w:name w:val="page number"/>
    <w:basedOn w:val="DefaultParagraphFont"/>
    <w:rsid w:val="00E32EE6"/>
  </w:style>
  <w:style w:type="paragraph" w:styleId="BodyText">
    <w:name w:val="Body Text"/>
    <w:basedOn w:val="Normal"/>
    <w:rsid w:val="00E32EE6"/>
    <w:rPr>
      <w:rFonts w:ascii="Helvetica" w:hAnsi="Helvetica"/>
    </w:rPr>
  </w:style>
  <w:style w:type="paragraph" w:customStyle="1" w:styleId="StyleHeading2Tahoma">
    <w:name w:val="Style Heading 2 + Tahoma"/>
    <w:basedOn w:val="Heading2"/>
    <w:autoRedefine/>
    <w:rsid w:val="00E32EE6"/>
    <w:pPr>
      <w:ind w:hanging="720"/>
    </w:pPr>
  </w:style>
  <w:style w:type="paragraph" w:styleId="BlockText">
    <w:name w:val="Block Text"/>
    <w:basedOn w:val="Normal"/>
    <w:rsid w:val="00E32EE6"/>
    <w:pPr>
      <w:suppressAutoHyphens w:val="0"/>
      <w:spacing w:before="0" w:after="120"/>
      <w:ind w:left="990" w:right="-540" w:hanging="990"/>
      <w:jc w:val="both"/>
    </w:pPr>
    <w:rPr>
      <w:rFonts w:ascii="Times New Roman" w:eastAsia="MS Mincho" w:hAnsi="Times New Roman"/>
      <w:spacing w:val="-10"/>
    </w:rPr>
  </w:style>
  <w:style w:type="paragraph" w:customStyle="1" w:styleId="StyleHeading2TahomaCharCharCharCharChar">
    <w:name w:val="Style Heading 2 + Tahoma Char Char Char Char Char"/>
    <w:basedOn w:val="Heading2"/>
    <w:link w:val="StyleHeading2TahomaCharCharCharCharCharChar"/>
    <w:autoRedefine/>
    <w:rsid w:val="00BE1E92"/>
    <w:pPr>
      <w:ind w:left="540" w:firstLine="0"/>
    </w:pPr>
    <w:rPr>
      <w:rFonts w:cs="Tahoma"/>
    </w:rPr>
  </w:style>
  <w:style w:type="character" w:customStyle="1" w:styleId="Heading2Char">
    <w:name w:val="Heading 2 Char"/>
    <w:aliases w:val="Heading 2a Char"/>
    <w:basedOn w:val="DefaultParagraphFont"/>
    <w:link w:val="Heading2"/>
    <w:rsid w:val="00D346C4"/>
    <w:rPr>
      <w:rFonts w:ascii="Tahoma" w:hAnsi="Tahoma" w:cs="Arial"/>
      <w:sz w:val="22"/>
      <w:szCs w:val="22"/>
    </w:rPr>
  </w:style>
  <w:style w:type="character" w:customStyle="1" w:styleId="StyleHeading2TahomaCharCharCharCharCharChar">
    <w:name w:val="Style Heading 2 + Tahoma Char Char Char Char Char Char"/>
    <w:basedOn w:val="Heading2Char"/>
    <w:link w:val="StyleHeading2TahomaCharCharCharCharChar"/>
    <w:rsid w:val="00BE1E92"/>
    <w:rPr>
      <w:rFonts w:ascii="Tahoma" w:hAnsi="Tahoma" w:cs="Tahoma"/>
      <w:sz w:val="22"/>
      <w:szCs w:val="22"/>
    </w:rPr>
  </w:style>
  <w:style w:type="table" w:styleId="TableGrid">
    <w:name w:val="Table Grid"/>
    <w:basedOn w:val="TableNormal"/>
    <w:rsid w:val="005E79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C6560C"/>
    <w:pPr>
      <w:suppressAutoHyphens w:val="0"/>
      <w:spacing w:before="100" w:beforeAutospacing="1" w:after="100" w:afterAutospacing="1"/>
    </w:pPr>
    <w:rPr>
      <w:rFonts w:ascii="Times New Roman" w:hAnsi="Times New Roman" w:cs="Times New Roman"/>
      <w:sz w:val="24"/>
      <w:szCs w:val="24"/>
    </w:rPr>
  </w:style>
  <w:style w:type="paragraph" w:customStyle="1" w:styleId="PlainIndent">
    <w:name w:val="Plain Indent"/>
    <w:basedOn w:val="Normal"/>
    <w:qFormat/>
    <w:rsid w:val="00BE1E92"/>
    <w:pPr>
      <w:ind w:left="540"/>
    </w:pPr>
  </w:style>
  <w:style w:type="character" w:customStyle="1" w:styleId="Heading4Char">
    <w:name w:val="Heading 4 Char"/>
    <w:aliases w:val="Heading 3a Char"/>
    <w:basedOn w:val="DefaultParagraphFont"/>
    <w:link w:val="Heading4"/>
    <w:rsid w:val="0066672D"/>
    <w:rPr>
      <w:rFonts w:ascii="Tahoma" w:hAnsi="Tahoma" w:cs="Tahoma"/>
      <w:sz w:val="22"/>
      <w:szCs w:val="22"/>
    </w:rPr>
  </w:style>
  <w:style w:type="character" w:customStyle="1" w:styleId="Heading5Char">
    <w:name w:val="Heading 5 Char"/>
    <w:aliases w:val="Heading 4a Char"/>
    <w:basedOn w:val="DefaultParagraphFont"/>
    <w:link w:val="Heading5"/>
    <w:rsid w:val="00C76AEC"/>
    <w:rPr>
      <w:rFonts w:ascii="Tahoma" w:hAnsi="Tahoma" w:cs="Tahoma"/>
      <w:sz w:val="22"/>
      <w:szCs w:val="22"/>
    </w:rPr>
  </w:style>
  <w:style w:type="character" w:customStyle="1" w:styleId="Heading6Char">
    <w:name w:val="Heading 6 Char"/>
    <w:aliases w:val="Heading 5a Char"/>
    <w:basedOn w:val="DefaultParagraphFont"/>
    <w:link w:val="Heading6"/>
    <w:rsid w:val="0098649A"/>
    <w:rPr>
      <w:rFonts w:ascii="Tahoma" w:hAnsi="Tahoma" w:cs="Tahoma"/>
      <w:sz w:val="22"/>
      <w:szCs w:val="22"/>
    </w:rPr>
  </w:style>
  <w:style w:type="paragraph" w:customStyle="1" w:styleId="Heading6a">
    <w:name w:val="Heading 6a"/>
    <w:basedOn w:val="Heading6"/>
    <w:link w:val="Heading6aChar"/>
    <w:qFormat/>
    <w:rsid w:val="00B132BB"/>
    <w:pPr>
      <w:numPr>
        <w:ilvl w:val="4"/>
      </w:numPr>
      <w:tabs>
        <w:tab w:val="clear" w:pos="3150"/>
        <w:tab w:val="left" w:pos="4500"/>
      </w:tabs>
      <w:ind w:left="4500" w:hanging="1350"/>
    </w:pPr>
  </w:style>
  <w:style w:type="character" w:customStyle="1" w:styleId="Heading6aChar">
    <w:name w:val="Heading 6a Char"/>
    <w:basedOn w:val="Heading6Char"/>
    <w:link w:val="Heading6a"/>
    <w:rsid w:val="00B132BB"/>
    <w:rPr>
      <w:rFonts w:ascii="Tahoma" w:hAnsi="Tahoma" w:cs="Tahoma"/>
      <w:sz w:val="22"/>
      <w:szCs w:val="22"/>
    </w:rPr>
  </w:style>
  <w:style w:type="character" w:customStyle="1" w:styleId="Heading1Char">
    <w:name w:val="Heading 1 Char"/>
    <w:aliases w:val="Heading 1a Char"/>
    <w:basedOn w:val="DefaultParagraphFont"/>
    <w:link w:val="Heading1"/>
    <w:rsid w:val="00F91F91"/>
    <w:rPr>
      <w:rFonts w:ascii="Tahoma" w:hAnsi="Tahoma" w:cs="Tahoma"/>
      <w:b/>
      <w:color w:val="000000"/>
      <w:sz w:val="22"/>
      <w:szCs w:val="22"/>
    </w:rPr>
  </w:style>
  <w:style w:type="paragraph" w:styleId="ListParagraph">
    <w:name w:val="List Paragraph"/>
    <w:basedOn w:val="Normal"/>
    <w:uiPriority w:val="34"/>
    <w:qFormat/>
    <w:rsid w:val="0048612C"/>
    <w:pPr>
      <w:ind w:left="720"/>
      <w:contextualSpacing/>
    </w:pPr>
  </w:style>
  <w:style w:type="character" w:styleId="CommentReference">
    <w:name w:val="annotation reference"/>
    <w:basedOn w:val="DefaultParagraphFont"/>
    <w:uiPriority w:val="99"/>
    <w:semiHidden/>
    <w:unhideWhenUsed/>
    <w:rsid w:val="00456930"/>
    <w:rPr>
      <w:sz w:val="16"/>
      <w:szCs w:val="16"/>
    </w:rPr>
  </w:style>
  <w:style w:type="paragraph" w:styleId="CommentText">
    <w:name w:val="annotation text"/>
    <w:basedOn w:val="Normal"/>
    <w:link w:val="CommentTextChar"/>
    <w:uiPriority w:val="99"/>
    <w:semiHidden/>
    <w:unhideWhenUsed/>
    <w:rsid w:val="00456930"/>
    <w:rPr>
      <w:sz w:val="20"/>
      <w:szCs w:val="20"/>
    </w:rPr>
  </w:style>
  <w:style w:type="character" w:customStyle="1" w:styleId="CommentTextChar">
    <w:name w:val="Comment Text Char"/>
    <w:basedOn w:val="DefaultParagraphFont"/>
    <w:link w:val="CommentText"/>
    <w:uiPriority w:val="99"/>
    <w:semiHidden/>
    <w:rsid w:val="00456930"/>
    <w:rPr>
      <w:rFonts w:ascii="Tahoma" w:hAnsi="Tahoma" w:cs="Tahoma"/>
    </w:rPr>
  </w:style>
  <w:style w:type="paragraph" w:styleId="CommentSubject">
    <w:name w:val="annotation subject"/>
    <w:basedOn w:val="CommentText"/>
    <w:next w:val="CommentText"/>
    <w:link w:val="CommentSubjectChar"/>
    <w:uiPriority w:val="99"/>
    <w:semiHidden/>
    <w:unhideWhenUsed/>
    <w:rsid w:val="00456930"/>
    <w:rPr>
      <w:b/>
      <w:bCs/>
    </w:rPr>
  </w:style>
  <w:style w:type="character" w:customStyle="1" w:styleId="CommentSubjectChar">
    <w:name w:val="Comment Subject Char"/>
    <w:basedOn w:val="CommentTextChar"/>
    <w:link w:val="CommentSubject"/>
    <w:uiPriority w:val="99"/>
    <w:semiHidden/>
    <w:rsid w:val="00456930"/>
    <w:rPr>
      <w:rFonts w:ascii="Tahoma" w:hAnsi="Tahoma" w:cs="Tahoma"/>
      <w:b/>
      <w:bCs/>
    </w:rPr>
  </w:style>
  <w:style w:type="character" w:styleId="UnresolvedMention">
    <w:name w:val="Unresolved Mention"/>
    <w:basedOn w:val="DefaultParagraphFont"/>
    <w:uiPriority w:val="99"/>
    <w:semiHidden/>
    <w:unhideWhenUsed/>
    <w:rsid w:val="00E9471F"/>
    <w:rPr>
      <w:color w:val="605E5C"/>
      <w:shd w:val="clear" w:color="auto" w:fill="E1DFDD"/>
    </w:rPr>
  </w:style>
  <w:style w:type="paragraph" w:styleId="Revision">
    <w:name w:val="Revision"/>
    <w:hidden/>
    <w:uiPriority w:val="99"/>
    <w:semiHidden/>
    <w:rsid w:val="00C57D14"/>
    <w:rPr>
      <w:rFonts w:ascii="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4629">
      <w:bodyDiv w:val="1"/>
      <w:marLeft w:val="0"/>
      <w:marRight w:val="0"/>
      <w:marTop w:val="0"/>
      <w:marBottom w:val="0"/>
      <w:divBdr>
        <w:top w:val="none" w:sz="0" w:space="0" w:color="auto"/>
        <w:left w:val="none" w:sz="0" w:space="0" w:color="auto"/>
        <w:bottom w:val="none" w:sz="0" w:space="0" w:color="auto"/>
        <w:right w:val="none" w:sz="0" w:space="0" w:color="auto"/>
      </w:divBdr>
      <w:divsChild>
        <w:div w:id="2146466084">
          <w:marLeft w:val="0"/>
          <w:marRight w:val="0"/>
          <w:marTop w:val="0"/>
          <w:marBottom w:val="0"/>
          <w:divBdr>
            <w:top w:val="none" w:sz="0" w:space="0" w:color="auto"/>
            <w:left w:val="none" w:sz="0" w:space="0" w:color="auto"/>
            <w:bottom w:val="none" w:sz="0" w:space="0" w:color="auto"/>
            <w:right w:val="none" w:sz="0" w:space="0" w:color="auto"/>
          </w:divBdr>
          <w:divsChild>
            <w:div w:id="2048334810">
              <w:marLeft w:val="0"/>
              <w:marRight w:val="0"/>
              <w:marTop w:val="0"/>
              <w:marBottom w:val="0"/>
              <w:divBdr>
                <w:top w:val="none" w:sz="0" w:space="0" w:color="auto"/>
                <w:left w:val="none" w:sz="0" w:space="0" w:color="auto"/>
                <w:bottom w:val="none" w:sz="0" w:space="0" w:color="auto"/>
                <w:right w:val="none" w:sz="0" w:space="0" w:color="auto"/>
              </w:divBdr>
              <w:divsChild>
                <w:div w:id="1678071780">
                  <w:marLeft w:val="0"/>
                  <w:marRight w:val="0"/>
                  <w:marTop w:val="0"/>
                  <w:marBottom w:val="0"/>
                  <w:divBdr>
                    <w:top w:val="none" w:sz="0" w:space="0" w:color="auto"/>
                    <w:left w:val="none" w:sz="0" w:space="0" w:color="auto"/>
                    <w:bottom w:val="none" w:sz="0" w:space="0" w:color="auto"/>
                    <w:right w:val="none" w:sz="0" w:space="0" w:color="auto"/>
                  </w:divBdr>
                  <w:divsChild>
                    <w:div w:id="3206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8805">
      <w:bodyDiv w:val="1"/>
      <w:marLeft w:val="0"/>
      <w:marRight w:val="0"/>
      <w:marTop w:val="0"/>
      <w:marBottom w:val="0"/>
      <w:divBdr>
        <w:top w:val="none" w:sz="0" w:space="0" w:color="auto"/>
        <w:left w:val="none" w:sz="0" w:space="0" w:color="auto"/>
        <w:bottom w:val="none" w:sz="0" w:space="0" w:color="auto"/>
        <w:right w:val="none" w:sz="0" w:space="0" w:color="auto"/>
      </w:divBdr>
    </w:div>
    <w:div w:id="1504470965">
      <w:bodyDiv w:val="1"/>
      <w:marLeft w:val="0"/>
      <w:marRight w:val="0"/>
      <w:marTop w:val="0"/>
      <w:marBottom w:val="0"/>
      <w:divBdr>
        <w:top w:val="none" w:sz="0" w:space="0" w:color="auto"/>
        <w:left w:val="none" w:sz="0" w:space="0" w:color="auto"/>
        <w:bottom w:val="none" w:sz="0" w:space="0" w:color="auto"/>
        <w:right w:val="none" w:sz="0" w:space="0" w:color="auto"/>
      </w:divBdr>
    </w:div>
    <w:div w:id="1788621631">
      <w:bodyDiv w:val="1"/>
      <w:marLeft w:val="0"/>
      <w:marRight w:val="0"/>
      <w:marTop w:val="0"/>
      <w:marBottom w:val="0"/>
      <w:divBdr>
        <w:top w:val="none" w:sz="0" w:space="0" w:color="auto"/>
        <w:left w:val="none" w:sz="0" w:space="0" w:color="auto"/>
        <w:bottom w:val="none" w:sz="0" w:space="0" w:color="auto"/>
        <w:right w:val="none" w:sz="0" w:space="0" w:color="auto"/>
      </w:divBdr>
      <w:divsChild>
        <w:div w:id="2123301624">
          <w:marLeft w:val="1080"/>
          <w:marRight w:val="0"/>
          <w:marTop w:val="82"/>
          <w:marBottom w:val="0"/>
          <w:divBdr>
            <w:top w:val="none" w:sz="0" w:space="0" w:color="auto"/>
            <w:left w:val="none" w:sz="0" w:space="0" w:color="auto"/>
            <w:bottom w:val="none" w:sz="0" w:space="0" w:color="auto"/>
            <w:right w:val="none" w:sz="0" w:space="0" w:color="auto"/>
          </w:divBdr>
        </w:div>
      </w:divsChild>
    </w:div>
    <w:div w:id="212961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riumphsupplysource.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triumphsupplysourc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tgiservices.sharepoint.com/corpgroup/corpsupplychain/Public%20Documents/Forms/Standard%20View.aspx?RootFolder=%2Fcorpgroup%2Fcorpsupplychain%2FPublic%20Documents%2FSupplier%20Development%20Documents%2FSupplier%20Assessments&amp;FolderCTID=0x0120000FA22E94CF05B74188CCE50BD90CFA7F&amp;View=%7B8C7F61A3%2DC069%2D4336%2D903E%2D37B776EAEDA3%7D"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iumphsupplysourc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riumphsupplysour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PDS\ppd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E09F96E2DA248A09A0C6833A26E8D" ma:contentTypeVersion="2" ma:contentTypeDescription="Create a new document." ma:contentTypeScope="" ma:versionID="6a1e81ec5fbf72ec667fb29f48558ed4">
  <xsd:schema xmlns:xsd="http://www.w3.org/2001/XMLSchema" xmlns:xs="http://www.w3.org/2001/XMLSchema" xmlns:p="http://schemas.microsoft.com/office/2006/metadata/properties" xmlns:ns2="b32bacba-3e91-4ced-939a-cbfcdbddd3c3" targetNamespace="http://schemas.microsoft.com/office/2006/metadata/properties" ma:root="true" ma:fieldsID="07d41b4002b28c764a99464e18958b12" ns2:_="">
    <xsd:import namespace="b32bacba-3e91-4ced-939a-cbfcdbddd3c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bacba-3e91-4ced-939a-cbfcdbddd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67C901-38DF-4A06-A580-0F3B266A0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bacba-3e91-4ced-939a-cbfcdbddd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5B6B3-934B-4BCE-850C-DDC4D0CC13CE}">
  <ds:schemaRefs>
    <ds:schemaRef ds:uri="http://schemas.openxmlformats.org/officeDocument/2006/bibliography"/>
  </ds:schemaRefs>
</ds:datastoreItem>
</file>

<file path=customXml/itemProps3.xml><?xml version="1.0" encoding="utf-8"?>
<ds:datastoreItem xmlns:ds="http://schemas.openxmlformats.org/officeDocument/2006/customXml" ds:itemID="{D6C2BDF3-E083-4CCE-862D-38D73A95AC9B}">
  <ds:schemaRefs>
    <ds:schemaRef ds:uri="http://schemas.microsoft.com/office/2006/metadata/longProperties"/>
  </ds:schemaRefs>
</ds:datastoreItem>
</file>

<file path=customXml/itemProps4.xml><?xml version="1.0" encoding="utf-8"?>
<ds:datastoreItem xmlns:ds="http://schemas.openxmlformats.org/officeDocument/2006/customXml" ds:itemID="{ED171AA1-77FA-44EB-8C94-4B43CB9F90ED}">
  <ds:schemaRefs>
    <ds:schemaRef ds:uri="b32bacba-3e91-4ced-939a-cbfcdbddd3c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19605A76-FB9B-416B-88D7-8709200B5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ppds.dot</Template>
  <TotalTime>1</TotalTime>
  <Pages>5</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Triumph Supplier Quality Management Procedure</vt:lpstr>
    </vt:vector>
  </TitlesOfParts>
  <Company>Triumph Group</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Triumph Supplier Quality Management Procedure</dc:title>
  <dc:creator>Triumph Supplier Quality Management</dc:creator>
  <cp:lastModifiedBy>Modeland, Susan K.</cp:lastModifiedBy>
  <cp:revision>2</cp:revision>
  <cp:lastPrinted>2012-01-05T18:50:00Z</cp:lastPrinted>
  <dcterms:created xsi:type="dcterms:W3CDTF">2022-09-09T19:42:00Z</dcterms:created>
  <dcterms:modified xsi:type="dcterms:W3CDTF">2022-09-09T19:42:00Z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0x0101006D5E09F96E2DA248A09A0C6833A26E8D</vt:lpwstr>
  </property>
</Properties>
</file>